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53" w:rsidRDefault="000A29AF">
      <w:pPr>
        <w:spacing w:line="200" w:lineRule="exact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 wp14:anchorId="114ACD14" wp14:editId="7DAA3122">
            <wp:simplePos x="0" y="0"/>
            <wp:positionH relativeFrom="column">
              <wp:posOffset>2966720</wp:posOffset>
            </wp:positionH>
            <wp:positionV relativeFrom="paragraph">
              <wp:posOffset>-195580</wp:posOffset>
            </wp:positionV>
            <wp:extent cx="6050280" cy="6751320"/>
            <wp:effectExtent l="0" t="0" r="762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l="35481" b="1770"/>
                    <a:stretch/>
                  </pic:blipFill>
                  <pic:spPr bwMode="auto">
                    <a:xfrm>
                      <a:off x="0" y="0"/>
                      <a:ext cx="6050280" cy="67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B89"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37C0B106" wp14:editId="76540B84">
            <wp:simplePos x="0" y="0"/>
            <wp:positionH relativeFrom="page">
              <wp:posOffset>0</wp:posOffset>
            </wp:positionH>
            <wp:positionV relativeFrom="page">
              <wp:posOffset>117475</wp:posOffset>
            </wp:positionV>
            <wp:extent cx="3058795" cy="6623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662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374" w:lineRule="exact"/>
        <w:rPr>
          <w:sz w:val="24"/>
          <w:szCs w:val="24"/>
        </w:rPr>
      </w:pPr>
    </w:p>
    <w:p w:rsidR="00946C53" w:rsidRDefault="00113B89">
      <w:pPr>
        <w:spacing w:line="372" w:lineRule="auto"/>
        <w:ind w:right="400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САРАТОВСКИЙ НАЦИОНАЛЬНЫЙ ИССЛЕДОВАТЕЛЬСКИЙ ГОСУДАРСТВЕННЫЙ УНИВЕРСИТЕТ имени Н.Г.ЧЕРНЫШЕВСКОГО</w:t>
      </w: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00" w:lineRule="exact"/>
        <w:rPr>
          <w:sz w:val="24"/>
          <w:szCs w:val="24"/>
        </w:rPr>
      </w:pPr>
    </w:p>
    <w:p w:rsidR="00946C53" w:rsidRDefault="00946C53">
      <w:pPr>
        <w:spacing w:line="221" w:lineRule="exact"/>
        <w:rPr>
          <w:sz w:val="24"/>
          <w:szCs w:val="24"/>
        </w:rPr>
      </w:pPr>
    </w:p>
    <w:p w:rsidR="00946C53" w:rsidRDefault="00113B89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5"/>
          <w:szCs w:val="25"/>
        </w:rPr>
        <w:t>ЮРИДИЧЕСКИЙ ФАКУЛЬТЕТ</w:t>
      </w:r>
    </w:p>
    <w:p w:rsidR="00946C53" w:rsidRDefault="00946C53">
      <w:pPr>
        <w:spacing w:line="164" w:lineRule="exact"/>
        <w:rPr>
          <w:sz w:val="24"/>
          <w:szCs w:val="24"/>
        </w:rPr>
      </w:pPr>
    </w:p>
    <w:p w:rsidR="00946C53" w:rsidRDefault="00113B89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ЮРИДИЧЕСКАЯ КЛИНИКА</w:t>
      </w:r>
    </w:p>
    <w:p w:rsidR="00946C53" w:rsidRDefault="00113B8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13B89" w:rsidRDefault="00113B89" w:rsidP="00A51604">
      <w:pPr>
        <w:ind w:left="160" w:right="940"/>
        <w:rPr>
          <w:rFonts w:eastAsia="Times New Roman"/>
          <w:b/>
          <w:bCs/>
          <w:i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Куратор:</w:t>
      </w:r>
      <w:r w:rsidR="000A29A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0A29AF" w:rsidRPr="000A29AF">
        <w:rPr>
          <w:rFonts w:eastAsia="Times New Roman"/>
          <w:b/>
          <w:bCs/>
          <w:i/>
          <w:sz w:val="28"/>
          <w:szCs w:val="28"/>
        </w:rPr>
        <w:t>Шундик</w:t>
      </w:r>
      <w:proofErr w:type="spellEnd"/>
      <w:r w:rsidR="000A29AF" w:rsidRPr="000A29AF">
        <w:rPr>
          <w:rFonts w:eastAsia="Times New Roman"/>
          <w:b/>
          <w:bCs/>
          <w:i/>
          <w:sz w:val="28"/>
          <w:szCs w:val="28"/>
        </w:rPr>
        <w:t xml:space="preserve"> Ираида Александровна</w:t>
      </w:r>
    </w:p>
    <w:p w:rsidR="00A51604" w:rsidRDefault="00A51604" w:rsidP="00A51604">
      <w:pPr>
        <w:ind w:left="160" w:right="940"/>
        <w:rPr>
          <w:rFonts w:eastAsia="Times New Roman"/>
          <w:b/>
          <w:bCs/>
          <w:i/>
          <w:sz w:val="28"/>
          <w:szCs w:val="28"/>
        </w:rPr>
      </w:pPr>
    </w:p>
    <w:p w:rsidR="000A29AF" w:rsidRPr="0011772D" w:rsidRDefault="00113B89" w:rsidP="00113B89">
      <w:pPr>
        <w:ind w:left="160" w:right="940"/>
        <w:jc w:val="center"/>
        <w:rPr>
          <w:rFonts w:eastAsia="Times New Roman"/>
          <w:b/>
          <w:bCs/>
          <w:color w:val="E5DFEC" w:themeColor="accent4" w:themeTint="33"/>
          <w:sz w:val="28"/>
          <w:szCs w:val="28"/>
        </w:rPr>
      </w:pPr>
      <w:r w:rsidRPr="0011772D">
        <w:rPr>
          <w:rFonts w:eastAsia="Times New Roman"/>
          <w:b/>
          <w:bCs/>
          <w:color w:val="E5DFEC" w:themeColor="accent4" w:themeTint="33"/>
          <w:sz w:val="28"/>
          <w:szCs w:val="28"/>
        </w:rPr>
        <w:t>«Все о завещании»</w:t>
      </w:r>
    </w:p>
    <w:p w:rsidR="00A51604" w:rsidRPr="0011772D" w:rsidRDefault="00A51604" w:rsidP="00113B89">
      <w:pPr>
        <w:ind w:left="160" w:right="940"/>
        <w:jc w:val="center"/>
        <w:rPr>
          <w:rFonts w:eastAsia="Times New Roman"/>
          <w:b/>
          <w:bCs/>
          <w:color w:val="E5DFEC" w:themeColor="accent4" w:themeTint="33"/>
          <w:sz w:val="28"/>
          <w:szCs w:val="28"/>
        </w:rPr>
      </w:pP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Распорядиться имуществом на случай смерти и изменить, установленный порядок наследования можно путем совершения завещания.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Правовое регулирование наследования по завещанию содержится в Главе 62 Гражданского Кодекса Российской Федерации (</w:t>
      </w:r>
      <w:proofErr w:type="spellStart"/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ст.ст</w:t>
      </w:r>
      <w:proofErr w:type="spellEnd"/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. 1118 – 1140.1).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Завещание может быть совершено любым гражданином, обладающим в момент его совершения дееспособностью в полном объеме. 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Завещание также может быть совершено гражданами, состоящими между собой в момент его совершения в браке (</w:t>
      </w:r>
      <w:r w:rsidRPr="0011772D">
        <w:rPr>
          <w:rFonts w:eastAsia="Times New Roman"/>
          <w:bCs/>
          <w:i/>
          <w:color w:val="E5DFEC" w:themeColor="accent4" w:themeTint="33"/>
          <w:sz w:val="24"/>
          <w:szCs w:val="24"/>
        </w:rPr>
        <w:t>совместное завещание супругов</w:t>
      </w: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). 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Завещание должно быть совершено лично. Совершение завещания через представителя не допускаются, так как завещание является односторонней сделкой, носящей строго </w:t>
      </w:r>
      <w:proofErr w:type="gramStart"/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личный</w:t>
      </w:r>
      <w:proofErr w:type="gramEnd"/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 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lastRenderedPageBreak/>
        <w:t xml:space="preserve">характер и не может быть совершено через представителя. 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Завещатель вправе: 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- по своему усмотрению завещать имущество любым лицам, не только гражданам Российской Федерации, но также иностранным гражданам и лицам без гражданства, Российской Федерации, субъектам Российской Федерации, муниципальным образованиям; 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- любым образом определить доли наследников в наследстве, лишить наследства одного, нескольких или всех наследников по закону, не указывая причин такого лишения, 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- завещать общее имущество супругов, определить имущество, входящее в наследственную массу каждого из супругов, если определение имущества, входящего в наследственную массу каждого из супругов, не нарушает прав третьих лиц, 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- предусмотреть в завещании создание наследственного фонда, 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- включить в завещание иные распоряжения,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lastRenderedPageBreak/>
        <w:t xml:space="preserve">- отменить, изменить совершенное завещание в любое время после его 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noProof/>
          <w:color w:val="E5DFEC" w:themeColor="accent4" w:themeTint="33"/>
          <w:sz w:val="24"/>
          <w:szCs w:val="24"/>
        </w:rPr>
        <w:drawing>
          <wp:anchor distT="0" distB="0" distL="114300" distR="114300" simplePos="0" relativeHeight="251662848" behindDoc="1" locked="0" layoutInCell="0" allowOverlap="1" wp14:anchorId="7F5E8070" wp14:editId="6772484A">
            <wp:simplePos x="0" y="0"/>
            <wp:positionH relativeFrom="column">
              <wp:posOffset>-81280</wp:posOffset>
            </wp:positionH>
            <wp:positionV relativeFrom="paragraph">
              <wp:posOffset>-668020</wp:posOffset>
            </wp:positionV>
            <wp:extent cx="9102090" cy="8846820"/>
            <wp:effectExtent l="0" t="0" r="381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090" cy="884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совершения, не указывая причины его отмены или изменения;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- завещатель не обязан сообщать кому-либо о содержании, совершении, об изменении или отмене завещания.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В настоящее время </w:t>
      </w:r>
      <w:proofErr w:type="gramStart"/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Гражданском</w:t>
      </w:r>
      <w:proofErr w:type="gramEnd"/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 кодексом Российской Федерации определены следующие виды завещаний: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- нотариально удостоверенное завещание;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- закрытое завещание;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- завещания, приравниваемые к нотариально удостоверенным завещаниям; 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- завещательные распоряжения правами на денежные средства в банках;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- завещание в чрезвычайных обстоятельствах;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- совместное завещание супругов;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- завещание об учреждении наследственного фонда.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При удостоверении завещаний от завещателя не требуется представления доказательств, подтверждающих его право на завещаемое имущество. 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lastRenderedPageBreak/>
        <w:t>Завещание может содержать в себе распоряжение на все имущество завещателя на случай смерти, либо на отдельные виды его имущества. Завещатель вправе совершить завещание, содержащее распоряжение о любом имуществе, в том числе о том, которое он может приобрести в будущем.</w:t>
      </w:r>
      <w:bookmarkStart w:id="0" w:name="dst100051"/>
      <w:bookmarkEnd w:id="0"/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 Завещатель может распорядиться своим имуществом или какой-либо его частью, составив одно или несколько завещаний.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Для признания составленного завещания действительным, необходимо выполнение следующих требований: 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- завещание составляется исключительно в письменном виде и удостоверяется нотариусом;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- подписывается собственноручно. Если завещатель в силу физических недостатков, тяжелой болезни или неграмотности не может собственноручно подписать завещание, оно по его просьбе может быть подписано другим гражданином в присутствии нотариуса. В завещании должны быть указаны причины, по которым завещатель не мог подписать завещание собственноручно, а </w:t>
      </w: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lastRenderedPageBreak/>
        <w:t>также фамилия, имя, отчество и место жительства гражданина, подписавшего завещание по просьбе завещателя, в соответствии с документом,  удостоверяющим личность этого гражданина.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При составлении и нотариальном удостоверении завещания по желанию завещателя может присутствовать свидетель.</w:t>
      </w:r>
      <w:bookmarkStart w:id="1" w:name="dst100081"/>
      <w:bookmarkEnd w:id="1"/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 Если завещание составляется и удостоверяется в присутствии свидетеля, оно должно быть им подписано и на завещании должны быть указаны фамилия, имя, отчество и место жительства свидетеля в соответствии с документом, удостоверяющим его личность.</w:t>
      </w:r>
      <w:bookmarkStart w:id="2" w:name="dst218"/>
      <w:bookmarkEnd w:id="2"/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 </w:t>
      </w:r>
      <w:proofErr w:type="gramStart"/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Свидетелями не могут быть и не могут подписывать завещание вместо завещателя:</w:t>
      </w:r>
      <w:bookmarkStart w:id="3" w:name="dst100067"/>
      <w:bookmarkEnd w:id="3"/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 нотариус или другое удостоверяющее завещание лицо;</w:t>
      </w:r>
      <w:bookmarkStart w:id="4" w:name="dst100068"/>
      <w:bookmarkEnd w:id="4"/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 лицо, в пользу которого составлено завещание или сделан завещательный отказ, супруг такого лица, его дети и родители;</w:t>
      </w:r>
      <w:bookmarkStart w:id="5" w:name="dst100069"/>
      <w:bookmarkEnd w:id="5"/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 граждане, не обладающие дееспособностью в полном объеме;</w:t>
      </w:r>
      <w:bookmarkStart w:id="6" w:name="dst100070"/>
      <w:bookmarkEnd w:id="6"/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 неграмотные;</w:t>
      </w:r>
      <w:bookmarkStart w:id="7" w:name="dst100071"/>
      <w:bookmarkEnd w:id="7"/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 граждане с такими физическими недостатками, которые явно не позволяют им в полной мере осознавать </w:t>
      </w: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lastRenderedPageBreak/>
        <w:t>существо происходящего;</w:t>
      </w:r>
      <w:bookmarkStart w:id="8" w:name="dst100072"/>
      <w:bookmarkEnd w:id="8"/>
      <w:proofErr w:type="gramEnd"/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 лица, не владеющие в достаточной степени языком, на котором составлено завещание, за исключением случая, когда составляется закрытое завещание;</w:t>
      </w:r>
      <w:bookmarkStart w:id="9" w:name="dst214"/>
      <w:bookmarkEnd w:id="9"/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 супруг при совершении совместного завещания супругов;</w:t>
      </w:r>
      <w:bookmarkStart w:id="10" w:name="dst215"/>
      <w:bookmarkEnd w:id="10"/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 стороны наследственного договора.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noProof/>
          <w:color w:val="E5DFEC" w:themeColor="accent4" w:themeTint="33"/>
          <w:sz w:val="24"/>
          <w:szCs w:val="24"/>
        </w:rPr>
        <w:drawing>
          <wp:anchor distT="0" distB="0" distL="114300" distR="114300" simplePos="0" relativeHeight="251664896" behindDoc="1" locked="0" layoutInCell="0" allowOverlap="1" wp14:anchorId="0880B309" wp14:editId="4C61055C">
            <wp:simplePos x="0" y="0"/>
            <wp:positionH relativeFrom="column">
              <wp:posOffset>-96520</wp:posOffset>
            </wp:positionH>
            <wp:positionV relativeFrom="paragraph">
              <wp:posOffset>-2020570</wp:posOffset>
            </wp:positionV>
            <wp:extent cx="9102090" cy="884682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090" cy="884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При удостоверении завещания строго соблюдается тайна завещания.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Для оформления завещания у нотариуса, необходимо при себе иметь: 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- документ, удостоверяющий личность (паспорт гражданина);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- данные о фамилии, имени, отчестве, дате рождения лица, в пользу которого составляется завещание;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- устав фонда, а также условия управления фондом (в случае составления завещания об учреждении наследственного фонда).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Размер оплаты за удостоверение завещания состоит из (государственной пошлины) нотариального тарифа и услуг правового технического характера. В соответствии с п. 13, ст. 333.24 «Размеры государственной пошлины за совершение </w:t>
      </w: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lastRenderedPageBreak/>
        <w:t>нотариальных действий» Налогового Кодекса Российской Федерации, за удостоверение завещаний, за принятие закрытого завещания - 100 рублей</w:t>
      </w:r>
      <w:bookmarkStart w:id="11" w:name="dst896"/>
      <w:bookmarkEnd w:id="11"/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. 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>В соответствии со статьей 333.38 Налогового Кодекса Российской Федерации предусмотрены льготы при обращении за совершением нотариальных действий. Так, от уплаты государственной пошлины за совершение нотариальных действий освобождаются: инвалиды I и II группы - на 50 процентов по всем видам нотариальных действий; физические лица - за удостоверение завещаний имущества в пользу Российской Федерации, субъектов Российской Федерации и (или) муниципальных образований; участники и инвалиды Великой Отечественной войны на 100 процентов.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t xml:space="preserve">Информация о предельном размере услуг правового, технического характера (УПТХ) ежегодно обновляется и размещается на официальном сайте Федеральной нотариальной палаты и на сайте нотариальной палаты </w:t>
      </w:r>
      <w:r w:rsidRPr="0011772D">
        <w:rPr>
          <w:rFonts w:eastAsia="Times New Roman"/>
          <w:bCs/>
          <w:color w:val="E5DFEC" w:themeColor="accent4" w:themeTint="33"/>
          <w:sz w:val="24"/>
          <w:szCs w:val="24"/>
        </w:rPr>
        <w:lastRenderedPageBreak/>
        <w:t xml:space="preserve">субъекта Российской Федерации. </w:t>
      </w:r>
    </w:p>
    <w:p w:rsidR="00A51604" w:rsidRPr="0011772D" w:rsidRDefault="00A51604" w:rsidP="00A51604">
      <w:pPr>
        <w:ind w:left="160" w:right="940"/>
        <w:jc w:val="both"/>
        <w:rPr>
          <w:rFonts w:eastAsia="Times New Roman"/>
          <w:bCs/>
          <w:color w:val="E5DFEC" w:themeColor="accent4" w:themeTint="33"/>
          <w:sz w:val="24"/>
          <w:szCs w:val="24"/>
        </w:rPr>
      </w:pPr>
    </w:p>
    <w:p w:rsidR="005810FE" w:rsidRPr="00B11F29" w:rsidRDefault="005810FE" w:rsidP="005810FE">
      <w:pPr>
        <w:ind w:right="940"/>
        <w:jc w:val="both"/>
        <w:rPr>
          <w:sz w:val="24"/>
          <w:szCs w:val="24"/>
        </w:rPr>
        <w:sectPr w:rsidR="005810FE" w:rsidRPr="00B11F29">
          <w:pgSz w:w="14400" w:h="10800" w:orient="landscape"/>
          <w:pgMar w:top="380" w:right="120" w:bottom="0" w:left="140" w:header="0" w:footer="0" w:gutter="0"/>
          <w:cols w:num="3" w:space="720" w:equalWidth="0">
            <w:col w:w="4380" w:space="720"/>
            <w:col w:w="4400" w:space="240"/>
            <w:col w:w="4400"/>
          </w:cols>
        </w:sectPr>
      </w:pPr>
    </w:p>
    <w:p w:rsidR="00946C53" w:rsidRDefault="00946C53" w:rsidP="00113B89">
      <w:pPr>
        <w:tabs>
          <w:tab w:val="left" w:pos="504"/>
        </w:tabs>
        <w:spacing w:line="231" w:lineRule="auto"/>
        <w:jc w:val="both"/>
        <w:rPr>
          <w:rFonts w:ascii="Calibri" w:eastAsia="Calibri" w:hAnsi="Calibri" w:cs="Calibri"/>
          <w:sz w:val="18"/>
          <w:szCs w:val="18"/>
        </w:rPr>
      </w:pPr>
      <w:bookmarkStart w:id="12" w:name="_GoBack"/>
      <w:bookmarkEnd w:id="12"/>
    </w:p>
    <w:sectPr w:rsidR="00946C53">
      <w:pgSz w:w="14400" w:h="10800" w:orient="landscape"/>
      <w:pgMar w:top="900" w:right="120" w:bottom="165" w:left="160" w:header="0" w:footer="0" w:gutter="0"/>
      <w:cols w:num="3" w:space="720" w:equalWidth="0">
        <w:col w:w="4540" w:space="540"/>
        <w:col w:w="4400" w:space="240"/>
        <w:col w:w="4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F2786578"/>
    <w:lvl w:ilvl="0" w:tplc="45E0F9BA">
      <w:start w:val="1"/>
      <w:numFmt w:val="bullet"/>
      <w:lvlText w:val="В"/>
      <w:lvlJc w:val="left"/>
    </w:lvl>
    <w:lvl w:ilvl="1" w:tplc="18EC81AC">
      <w:numFmt w:val="decimal"/>
      <w:lvlText w:val=""/>
      <w:lvlJc w:val="left"/>
    </w:lvl>
    <w:lvl w:ilvl="2" w:tplc="118A25FA">
      <w:numFmt w:val="decimal"/>
      <w:lvlText w:val=""/>
      <w:lvlJc w:val="left"/>
    </w:lvl>
    <w:lvl w:ilvl="3" w:tplc="663ED8E8">
      <w:numFmt w:val="decimal"/>
      <w:lvlText w:val=""/>
      <w:lvlJc w:val="left"/>
    </w:lvl>
    <w:lvl w:ilvl="4" w:tplc="E79CF1F2">
      <w:numFmt w:val="decimal"/>
      <w:lvlText w:val=""/>
      <w:lvlJc w:val="left"/>
    </w:lvl>
    <w:lvl w:ilvl="5" w:tplc="72C6B376">
      <w:numFmt w:val="decimal"/>
      <w:lvlText w:val=""/>
      <w:lvlJc w:val="left"/>
    </w:lvl>
    <w:lvl w:ilvl="6" w:tplc="42E26AB2">
      <w:numFmt w:val="decimal"/>
      <w:lvlText w:val=""/>
      <w:lvlJc w:val="left"/>
    </w:lvl>
    <w:lvl w:ilvl="7" w:tplc="87FEC55A">
      <w:numFmt w:val="decimal"/>
      <w:lvlText w:val=""/>
      <w:lvlJc w:val="left"/>
    </w:lvl>
    <w:lvl w:ilvl="8" w:tplc="863AF29A">
      <w:numFmt w:val="decimal"/>
      <w:lvlText w:val=""/>
      <w:lvlJc w:val="left"/>
    </w:lvl>
  </w:abstractNum>
  <w:abstractNum w:abstractNumId="1">
    <w:nsid w:val="000041BB"/>
    <w:multiLevelType w:val="hybridMultilevel"/>
    <w:tmpl w:val="A0320A52"/>
    <w:lvl w:ilvl="0" w:tplc="634022C8">
      <w:start w:val="1"/>
      <w:numFmt w:val="bullet"/>
      <w:lvlText w:val="В"/>
      <w:lvlJc w:val="left"/>
    </w:lvl>
    <w:lvl w:ilvl="1" w:tplc="BD700D3C">
      <w:numFmt w:val="decimal"/>
      <w:lvlText w:val=""/>
      <w:lvlJc w:val="left"/>
    </w:lvl>
    <w:lvl w:ilvl="2" w:tplc="18943544">
      <w:numFmt w:val="decimal"/>
      <w:lvlText w:val=""/>
      <w:lvlJc w:val="left"/>
    </w:lvl>
    <w:lvl w:ilvl="3" w:tplc="C4B276D2">
      <w:numFmt w:val="decimal"/>
      <w:lvlText w:val=""/>
      <w:lvlJc w:val="left"/>
    </w:lvl>
    <w:lvl w:ilvl="4" w:tplc="CD500F20">
      <w:numFmt w:val="decimal"/>
      <w:lvlText w:val=""/>
      <w:lvlJc w:val="left"/>
    </w:lvl>
    <w:lvl w:ilvl="5" w:tplc="872E73AE">
      <w:numFmt w:val="decimal"/>
      <w:lvlText w:val=""/>
      <w:lvlJc w:val="left"/>
    </w:lvl>
    <w:lvl w:ilvl="6" w:tplc="44E0D662">
      <w:numFmt w:val="decimal"/>
      <w:lvlText w:val=""/>
      <w:lvlJc w:val="left"/>
    </w:lvl>
    <w:lvl w:ilvl="7" w:tplc="12A834E4">
      <w:numFmt w:val="decimal"/>
      <w:lvlText w:val=""/>
      <w:lvlJc w:val="left"/>
    </w:lvl>
    <w:lvl w:ilvl="8" w:tplc="6E403000">
      <w:numFmt w:val="decimal"/>
      <w:lvlText w:val=""/>
      <w:lvlJc w:val="left"/>
    </w:lvl>
  </w:abstractNum>
  <w:abstractNum w:abstractNumId="2">
    <w:nsid w:val="00005AF1"/>
    <w:multiLevelType w:val="hybridMultilevel"/>
    <w:tmpl w:val="6E8209E4"/>
    <w:lvl w:ilvl="0" w:tplc="B02E4274">
      <w:start w:val="1"/>
      <w:numFmt w:val="bullet"/>
      <w:lvlText w:val="в"/>
      <w:lvlJc w:val="left"/>
    </w:lvl>
    <w:lvl w:ilvl="1" w:tplc="DD70C508">
      <w:start w:val="1"/>
      <w:numFmt w:val="bullet"/>
      <w:lvlText w:val="и"/>
      <w:lvlJc w:val="left"/>
    </w:lvl>
    <w:lvl w:ilvl="2" w:tplc="441410F2">
      <w:numFmt w:val="decimal"/>
      <w:lvlText w:val=""/>
      <w:lvlJc w:val="left"/>
    </w:lvl>
    <w:lvl w:ilvl="3" w:tplc="9B661C02">
      <w:numFmt w:val="decimal"/>
      <w:lvlText w:val=""/>
      <w:lvlJc w:val="left"/>
    </w:lvl>
    <w:lvl w:ilvl="4" w:tplc="CEEA7AE8">
      <w:numFmt w:val="decimal"/>
      <w:lvlText w:val=""/>
      <w:lvlJc w:val="left"/>
    </w:lvl>
    <w:lvl w:ilvl="5" w:tplc="8CD2FC92">
      <w:numFmt w:val="decimal"/>
      <w:lvlText w:val=""/>
      <w:lvlJc w:val="left"/>
    </w:lvl>
    <w:lvl w:ilvl="6" w:tplc="2C1209EC">
      <w:numFmt w:val="decimal"/>
      <w:lvlText w:val=""/>
      <w:lvlJc w:val="left"/>
    </w:lvl>
    <w:lvl w:ilvl="7" w:tplc="12B89500">
      <w:numFmt w:val="decimal"/>
      <w:lvlText w:val=""/>
      <w:lvlJc w:val="left"/>
    </w:lvl>
    <w:lvl w:ilvl="8" w:tplc="98821770">
      <w:numFmt w:val="decimal"/>
      <w:lvlText w:val=""/>
      <w:lvlJc w:val="left"/>
    </w:lvl>
  </w:abstractNum>
  <w:abstractNum w:abstractNumId="3">
    <w:nsid w:val="00005F90"/>
    <w:multiLevelType w:val="hybridMultilevel"/>
    <w:tmpl w:val="602619A0"/>
    <w:lvl w:ilvl="0" w:tplc="8B385CBE">
      <w:start w:val="1"/>
      <w:numFmt w:val="bullet"/>
      <w:lvlText w:val=""/>
      <w:lvlJc w:val="left"/>
    </w:lvl>
    <w:lvl w:ilvl="1" w:tplc="7D76A842">
      <w:numFmt w:val="decimal"/>
      <w:lvlText w:val=""/>
      <w:lvlJc w:val="left"/>
    </w:lvl>
    <w:lvl w:ilvl="2" w:tplc="9D1A5F6C">
      <w:numFmt w:val="decimal"/>
      <w:lvlText w:val=""/>
      <w:lvlJc w:val="left"/>
    </w:lvl>
    <w:lvl w:ilvl="3" w:tplc="2E8AE1CA">
      <w:numFmt w:val="decimal"/>
      <w:lvlText w:val=""/>
      <w:lvlJc w:val="left"/>
    </w:lvl>
    <w:lvl w:ilvl="4" w:tplc="C5328320">
      <w:numFmt w:val="decimal"/>
      <w:lvlText w:val=""/>
      <w:lvlJc w:val="left"/>
    </w:lvl>
    <w:lvl w:ilvl="5" w:tplc="CE02CA9E">
      <w:numFmt w:val="decimal"/>
      <w:lvlText w:val=""/>
      <w:lvlJc w:val="left"/>
    </w:lvl>
    <w:lvl w:ilvl="6" w:tplc="89C6037C">
      <w:numFmt w:val="decimal"/>
      <w:lvlText w:val=""/>
      <w:lvlJc w:val="left"/>
    </w:lvl>
    <w:lvl w:ilvl="7" w:tplc="29E0D842">
      <w:numFmt w:val="decimal"/>
      <w:lvlText w:val=""/>
      <w:lvlJc w:val="left"/>
    </w:lvl>
    <w:lvl w:ilvl="8" w:tplc="D658927A">
      <w:numFmt w:val="decimal"/>
      <w:lvlText w:val=""/>
      <w:lvlJc w:val="left"/>
    </w:lvl>
  </w:abstractNum>
  <w:abstractNum w:abstractNumId="4">
    <w:nsid w:val="00006952"/>
    <w:multiLevelType w:val="hybridMultilevel"/>
    <w:tmpl w:val="61A68F8C"/>
    <w:lvl w:ilvl="0" w:tplc="6890E762">
      <w:start w:val="1"/>
      <w:numFmt w:val="bullet"/>
      <w:lvlText w:val="В"/>
      <w:lvlJc w:val="left"/>
    </w:lvl>
    <w:lvl w:ilvl="1" w:tplc="25FA3298">
      <w:numFmt w:val="decimal"/>
      <w:lvlText w:val=""/>
      <w:lvlJc w:val="left"/>
    </w:lvl>
    <w:lvl w:ilvl="2" w:tplc="76AE680E">
      <w:numFmt w:val="decimal"/>
      <w:lvlText w:val=""/>
      <w:lvlJc w:val="left"/>
    </w:lvl>
    <w:lvl w:ilvl="3" w:tplc="6D2E089A">
      <w:numFmt w:val="decimal"/>
      <w:lvlText w:val=""/>
      <w:lvlJc w:val="left"/>
    </w:lvl>
    <w:lvl w:ilvl="4" w:tplc="35E29286">
      <w:numFmt w:val="decimal"/>
      <w:lvlText w:val=""/>
      <w:lvlJc w:val="left"/>
    </w:lvl>
    <w:lvl w:ilvl="5" w:tplc="996AF8E8">
      <w:numFmt w:val="decimal"/>
      <w:lvlText w:val=""/>
      <w:lvlJc w:val="left"/>
    </w:lvl>
    <w:lvl w:ilvl="6" w:tplc="A61041F8">
      <w:numFmt w:val="decimal"/>
      <w:lvlText w:val=""/>
      <w:lvlJc w:val="left"/>
    </w:lvl>
    <w:lvl w:ilvl="7" w:tplc="381E60F0">
      <w:numFmt w:val="decimal"/>
      <w:lvlText w:val=""/>
      <w:lvlJc w:val="left"/>
    </w:lvl>
    <w:lvl w:ilvl="8" w:tplc="2B6EA4C4">
      <w:numFmt w:val="decimal"/>
      <w:lvlText w:val=""/>
      <w:lvlJc w:val="left"/>
    </w:lvl>
  </w:abstractNum>
  <w:abstractNum w:abstractNumId="5">
    <w:nsid w:val="00006DF1"/>
    <w:multiLevelType w:val="hybridMultilevel"/>
    <w:tmpl w:val="A6F46920"/>
    <w:lvl w:ilvl="0" w:tplc="58A07616">
      <w:start w:val="1"/>
      <w:numFmt w:val="bullet"/>
      <w:lvlText w:val="а"/>
      <w:lvlJc w:val="left"/>
    </w:lvl>
    <w:lvl w:ilvl="1" w:tplc="8A9C1002">
      <w:numFmt w:val="decimal"/>
      <w:lvlText w:val=""/>
      <w:lvlJc w:val="left"/>
    </w:lvl>
    <w:lvl w:ilvl="2" w:tplc="5F06BC08">
      <w:numFmt w:val="decimal"/>
      <w:lvlText w:val=""/>
      <w:lvlJc w:val="left"/>
    </w:lvl>
    <w:lvl w:ilvl="3" w:tplc="F35250D8">
      <w:numFmt w:val="decimal"/>
      <w:lvlText w:val=""/>
      <w:lvlJc w:val="left"/>
    </w:lvl>
    <w:lvl w:ilvl="4" w:tplc="E5743E7A">
      <w:numFmt w:val="decimal"/>
      <w:lvlText w:val=""/>
      <w:lvlJc w:val="left"/>
    </w:lvl>
    <w:lvl w:ilvl="5" w:tplc="579EAB14">
      <w:numFmt w:val="decimal"/>
      <w:lvlText w:val=""/>
      <w:lvlJc w:val="left"/>
    </w:lvl>
    <w:lvl w:ilvl="6" w:tplc="C65AF896">
      <w:numFmt w:val="decimal"/>
      <w:lvlText w:val=""/>
      <w:lvlJc w:val="left"/>
    </w:lvl>
    <w:lvl w:ilvl="7" w:tplc="1E3A1DE2">
      <w:numFmt w:val="decimal"/>
      <w:lvlText w:val=""/>
      <w:lvlJc w:val="left"/>
    </w:lvl>
    <w:lvl w:ilvl="8" w:tplc="D00CEF64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53"/>
    <w:rsid w:val="000A29AF"/>
    <w:rsid w:val="00113B89"/>
    <w:rsid w:val="0011772D"/>
    <w:rsid w:val="005810FE"/>
    <w:rsid w:val="00946C53"/>
    <w:rsid w:val="00A51604"/>
    <w:rsid w:val="00B1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A1C67-9FD5-49DE-8403-32A52736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Мариника</cp:lastModifiedBy>
  <cp:revision>2</cp:revision>
  <dcterms:created xsi:type="dcterms:W3CDTF">2020-04-30T08:27:00Z</dcterms:created>
  <dcterms:modified xsi:type="dcterms:W3CDTF">2020-04-30T08:27:00Z</dcterms:modified>
</cp:coreProperties>
</file>