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712" w:rsidRPr="00F33B43" w:rsidRDefault="00F33B4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3B43">
        <w:rPr>
          <w:rFonts w:ascii="Times New Roman" w:hAnsi="Times New Roman" w:cs="Times New Roman"/>
          <w:b/>
          <w:sz w:val="28"/>
          <w:szCs w:val="28"/>
          <w:u w:val="single"/>
        </w:rPr>
        <w:t>ЗАДАНИЕ: записать текст</w:t>
      </w:r>
    </w:p>
    <w:p w:rsidR="002C4A64" w:rsidRPr="00441527" w:rsidRDefault="002C4A64" w:rsidP="004415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527">
        <w:rPr>
          <w:rFonts w:ascii="Times New Roman" w:hAnsi="Times New Roman" w:cs="Times New Roman"/>
          <w:b/>
          <w:sz w:val="28"/>
          <w:szCs w:val="28"/>
        </w:rPr>
        <w:t>Тема: «Техническое обслуживание и ремонт магистральных нефтепроводов. Назначение и состав работ технического обслуживания и ремонта»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Работы п</w:t>
      </w:r>
      <w:bookmarkStart w:id="0" w:name="_GoBack"/>
      <w:bookmarkEnd w:id="0"/>
      <w:r w:rsidRPr="00441527">
        <w:rPr>
          <w:color w:val="424242"/>
          <w:sz w:val="28"/>
          <w:szCs w:val="28"/>
        </w:rPr>
        <w:t>о ТОР объектов МН включают следующие виды: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осмотр;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техническое обслуживание;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текущий ремонт;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средний ремонт (для трубопроводной арматуры);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подготовительные работы при техническом освидетельствовании и СР трубопроводной арматуры.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В зависимости от сложности работ по ТОР объектов МН, работы выполняются: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собственными силами ЛЭС;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подразделениями БПО по направлениям деятельности и характеру выполняемой работы;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подрядными организациями при контроле работ ЛЭС.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 xml:space="preserve">Проведение работ по ТОР запорной арматуры линейной части МН, а также наладка и регулировка привода должны выполняться комплексными бригадами под руководством мастера ЛЭС в составе: трубопроводчиков линейных, мастера участка ГВЛ и ЭХЗ, электромонтера по ремонту и обслуживанию электрооборудования ГВЛ и ЭХЗ, инженера-электроника группы ЭТМ участка ЭСА и ТМ, электромеханика по средствам автоматики и приборам технологического оборудования ГТМ. Техническое обслуживание, текущий ремонт запорной арматуры линейной части МН, а также наладка и регулировка привода задвижки без цепей дистанционного управления и сигнализации производится без участия персонала службы ГТМ. Заключение о правильности настройки концевых и моментных выключателей даёт мастер ЛЭС. По результатам завершения работ комплексной бригадой мастер ЛЭС в течение одних суток должен оформить акт выполненных работ по комплексному техническому обслуживанию (текущему ремонту) оборудования линейной части МН </w:t>
      </w:r>
      <w:r w:rsidRPr="00441527">
        <w:rPr>
          <w:color w:val="424242"/>
          <w:sz w:val="28"/>
          <w:szCs w:val="28"/>
        </w:rPr>
        <w:lastRenderedPageBreak/>
        <w:t>(ППМН) с участием специалистов служб, принимавших участие в работах.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Акт выполненных работ по комплексному техническому обслуживанию (текущему ремонту) оборудования линейной части МН (ППМН) утверждается главным инженером РНУ.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В планах-графиках ППР, планах работ на год, месяц для ЛЭС, групп ГВЛ и ЭХЗ, групп по эксплуатации средств ТМ работы по ТОР оборудования линейной части МН, запорной арматуры, вдоль</w:t>
      </w:r>
      <w:r w:rsidR="00441527" w:rsidRPr="00441527">
        <w:rPr>
          <w:color w:val="424242"/>
          <w:sz w:val="28"/>
          <w:szCs w:val="28"/>
        </w:rPr>
        <w:t xml:space="preserve"> </w:t>
      </w:r>
      <w:r w:rsidRPr="00441527">
        <w:rPr>
          <w:color w:val="424242"/>
          <w:sz w:val="28"/>
          <w:szCs w:val="28"/>
        </w:rPr>
        <w:t xml:space="preserve">трассовых линий электропередач, установок электрохимической защиты нефтепроводов, систем телемеханики линейной части МН должны планироваться комплексными бригадами в составе специалистов, обеспечивающих обслуживание указанного оборудования. График ППР запорной арматуры должен быть оформлен отдельным документом по форме приложения Ж ОР-08.00-60.30.00-КТН-033-1-05. В плане-графике планово-предупредительного ремонта объектов </w:t>
      </w:r>
      <w:r w:rsidR="00441527" w:rsidRPr="00441527">
        <w:rPr>
          <w:color w:val="424242"/>
          <w:sz w:val="28"/>
          <w:szCs w:val="28"/>
        </w:rPr>
        <w:t>линейной части МН</w:t>
      </w:r>
      <w:r w:rsidRPr="00441527">
        <w:rPr>
          <w:color w:val="424242"/>
          <w:sz w:val="28"/>
          <w:szCs w:val="28"/>
        </w:rPr>
        <w:t xml:space="preserve"> необходимо указывать, что ППР запорной арматуры проводится по отдельному графику ППР.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Подрядными организациями могут выполняться следующие работы: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диагностика нефтепроводов акустико-эмиссионным методом и другими методами неразрушающего контроля;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внутритрубная диагностика магистральных нефтепроводов;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техническое диагностирование запорной арматуры и обратных затворов;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частичное и полное обследование подводных переходов МН;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ремонт берегоукрепительных сооружений;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ремонт защитных сооружений;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расчистка трассы от растительности;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ремонт дорог, переездов, мостов;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ремонт технологического транспорта и спецтехники;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текущий ремонт зданий и сооружений;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- восстановление антикоррозионного покрытия технологических и вспомогательных трубопроводов НПС;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lastRenderedPageBreak/>
        <w:t>- обустройство узлов задвижек, вантузов, колодцев датчиков отбора давления.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Проведение торгов по выбору подрядных организаций для выполнения работ ТОР определено ОР-03.100.50-КТН-130-09.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Разработка проектной документации работ ТОР, выполняемых подрядными организациями, производится согласно ОР-03.100.50-КТН-013-10.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Порядок разработки, согласования и утверждения проекта производства работ ТОР проводятся согласно РД-91.010.30-КТН-246-09.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В проекте производства работ указывается обязательный перечень исполнительной документации, подлежащий оформлению после завершения работ ТОР.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Порядок допуска и производство работ подрядными организациями определен ОР-15.00-45.21.30-КТН-003-1-01.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Все работники подрядной организации (руководители, специалисты, рабочие), допускаемые к работам на объектах МН, должны пройти вводный инструктаж по охране труда, пожарной безопасности, инструктаж по охране окружающей среды и целевой инструктаж по обеспечению безопасности производства работ на объектах МН с регистрацией в наряде-допуске.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Выполнение огневых, газоопасных и других работ повышенной опасности должно быть оформлено в соответствии с требованиями ОР-15.00-45.21.30-КТН-004-1-03.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При выполнении работ должны выполняться требования по охране окружающей среды, установленные в РД 153-39.4-056-00, РД-13.110.00-КТН-319-09,</w:t>
      </w:r>
      <w:r w:rsidRPr="00441527">
        <w:rPr>
          <w:color w:val="424242"/>
          <w:sz w:val="28"/>
          <w:szCs w:val="28"/>
        </w:rPr>
        <w:br/>
        <w:t>РД-23.040.0</w:t>
      </w:r>
      <w:r w:rsidR="00441527" w:rsidRPr="00441527">
        <w:rPr>
          <w:color w:val="424242"/>
          <w:sz w:val="28"/>
          <w:szCs w:val="28"/>
        </w:rPr>
        <w:t>0-КТН-031-09.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По окончании работ ТОР подрядной организацией оформляется акт выполненных ра</w:t>
      </w:r>
      <w:r w:rsidR="00441527" w:rsidRPr="00441527">
        <w:rPr>
          <w:color w:val="424242"/>
          <w:sz w:val="28"/>
          <w:szCs w:val="28"/>
        </w:rPr>
        <w:t>бот ТОР</w:t>
      </w:r>
      <w:r w:rsidRPr="00441527">
        <w:rPr>
          <w:color w:val="424242"/>
          <w:sz w:val="28"/>
          <w:szCs w:val="28"/>
        </w:rPr>
        <w:t>, который подписывается представителем подрядной организации, представителем управления капитального строительства ОСТ, представителем технического надзора, начальником ЛЭС, начальником НПС и утверждается главным инженером РНУ.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t>Главный инженер РНУ в течение пяти дней обеспечивает оформление (согласование и утверждение) акта выполненных работ и представление его в УКС ОСТ.</w:t>
      </w:r>
    </w:p>
    <w:p w:rsidR="002C4A64" w:rsidRPr="00441527" w:rsidRDefault="002C4A64" w:rsidP="002C4A64">
      <w:pPr>
        <w:pStyle w:val="a3"/>
        <w:shd w:val="clear" w:color="auto" w:fill="FFFFFF"/>
        <w:ind w:left="300" w:right="300"/>
        <w:rPr>
          <w:color w:val="424242"/>
          <w:sz w:val="28"/>
          <w:szCs w:val="28"/>
        </w:rPr>
      </w:pPr>
      <w:r w:rsidRPr="00441527">
        <w:rPr>
          <w:color w:val="424242"/>
          <w:sz w:val="28"/>
          <w:szCs w:val="28"/>
        </w:rPr>
        <w:lastRenderedPageBreak/>
        <w:t>Виды и периодичность работ по осмотру, техническому обслуживанию, текущему ремонту объектов линейной части МН, технологических и вспомогательных нефтепроводов Н</w:t>
      </w:r>
      <w:r w:rsidR="00441527" w:rsidRPr="00441527">
        <w:rPr>
          <w:color w:val="424242"/>
          <w:sz w:val="28"/>
          <w:szCs w:val="28"/>
        </w:rPr>
        <w:t xml:space="preserve">ПС. </w:t>
      </w:r>
      <w:r w:rsidRPr="00441527">
        <w:rPr>
          <w:color w:val="424242"/>
          <w:sz w:val="28"/>
          <w:szCs w:val="28"/>
        </w:rPr>
        <w:t>Виды и периодичность работ по среднему ремонту и техническому освидетельствованию запорной арматуры и обратных затворов и по среднему ремонту очистных ус</w:t>
      </w:r>
      <w:r w:rsidR="00441527" w:rsidRPr="00441527">
        <w:rPr>
          <w:color w:val="424242"/>
          <w:sz w:val="28"/>
          <w:szCs w:val="28"/>
        </w:rPr>
        <w:t>тройств.</w:t>
      </w:r>
    </w:p>
    <w:p w:rsidR="002C4A64" w:rsidRPr="00441527" w:rsidRDefault="002C4A64">
      <w:pPr>
        <w:rPr>
          <w:rFonts w:ascii="Times New Roman" w:hAnsi="Times New Roman" w:cs="Times New Roman"/>
          <w:sz w:val="28"/>
          <w:szCs w:val="28"/>
        </w:rPr>
      </w:pPr>
    </w:p>
    <w:sectPr w:rsidR="002C4A64" w:rsidRPr="00441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80"/>
    <w:rsid w:val="002C4A64"/>
    <w:rsid w:val="00441527"/>
    <w:rsid w:val="00BB1680"/>
    <w:rsid w:val="00E23712"/>
    <w:rsid w:val="00F3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FE9A7"/>
  <w15:chartTrackingRefBased/>
  <w15:docId w15:val="{06C26C93-4E1A-4BDE-B477-529A71905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2020-03-22T09:17:00Z</dcterms:created>
  <dcterms:modified xsi:type="dcterms:W3CDTF">2020-03-22T10:11:00Z</dcterms:modified>
</cp:coreProperties>
</file>