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B5E" w:rsidRPr="00762B5E" w:rsidRDefault="00762B5E" w:rsidP="00762B5E">
      <w:pPr>
        <w:pStyle w:val="Bodytext20"/>
        <w:shd w:val="clear" w:color="auto" w:fill="auto"/>
        <w:spacing w:line="240" w:lineRule="auto"/>
        <w:ind w:right="-352" w:firstLine="0"/>
        <w:jc w:val="center"/>
        <w:rPr>
          <w:b/>
        </w:rPr>
      </w:pPr>
      <w:r w:rsidRPr="00762B5E">
        <w:rPr>
          <w:b/>
        </w:rPr>
        <w:t>Список публикаций официального оппонента Нефедова И. С.</w:t>
      </w:r>
    </w:p>
    <w:p w:rsidR="00762B5E" w:rsidRDefault="00762B5E" w:rsidP="00762B5E">
      <w:pPr>
        <w:pStyle w:val="Bodytext20"/>
        <w:shd w:val="clear" w:color="auto" w:fill="auto"/>
        <w:spacing w:line="240" w:lineRule="auto"/>
        <w:ind w:right="-352" w:firstLine="0"/>
        <w:jc w:val="center"/>
      </w:pPr>
      <w:r w:rsidRPr="00762B5E">
        <w:rPr>
          <w:b/>
        </w:rPr>
        <w:t>по теме диссертации И. М. Моисеенко</w:t>
      </w:r>
      <w:r w:rsidRPr="003F2C20">
        <w:t xml:space="preserve"> </w:t>
      </w:r>
    </w:p>
    <w:p w:rsidR="00762B5E" w:rsidRDefault="00762B5E" w:rsidP="00762B5E">
      <w:pPr>
        <w:pStyle w:val="Bodytext20"/>
        <w:shd w:val="clear" w:color="auto" w:fill="auto"/>
        <w:spacing w:line="240" w:lineRule="auto"/>
        <w:ind w:right="-352" w:firstLine="0"/>
        <w:jc w:val="center"/>
      </w:pPr>
    </w:p>
    <w:p w:rsidR="00762B5E" w:rsidRPr="004C69BF" w:rsidRDefault="00762B5E" w:rsidP="00762B5E">
      <w:pPr>
        <w:pStyle w:val="a3"/>
        <w:numPr>
          <w:ilvl w:val="0"/>
          <w:numId w:val="1"/>
        </w:numPr>
        <w:spacing w:after="120"/>
        <w:ind w:left="0" w:firstLine="0"/>
        <w:jc w:val="both"/>
        <w:rPr>
          <w:rFonts w:ascii="Times New Roman" w:hAnsi="Times New Roman"/>
          <w:sz w:val="28"/>
          <w:szCs w:val="28"/>
          <w:lang w:val="en-US"/>
        </w:rPr>
      </w:pPr>
      <w:r w:rsidRPr="004C69BF">
        <w:rPr>
          <w:rFonts w:ascii="Times New Roman" w:hAnsi="Times New Roman"/>
          <w:sz w:val="28"/>
          <w:szCs w:val="28"/>
          <w:lang w:val="en-US"/>
        </w:rPr>
        <w:t>Slepchenkov</w:t>
      </w:r>
      <w:r w:rsidRPr="004C69BF">
        <w:rPr>
          <w:rFonts w:ascii="Times New Roman" w:hAnsi="Times New Roman"/>
          <w:sz w:val="28"/>
          <w:szCs w:val="28"/>
        </w:rPr>
        <w:t xml:space="preserve"> </w:t>
      </w:r>
      <w:r w:rsidRPr="004C69BF">
        <w:rPr>
          <w:rFonts w:ascii="Times New Roman" w:hAnsi="Times New Roman"/>
          <w:sz w:val="28"/>
          <w:szCs w:val="28"/>
          <w:lang w:val="en-US"/>
        </w:rPr>
        <w:t>M</w:t>
      </w:r>
      <w:r w:rsidRPr="004C69BF">
        <w:rPr>
          <w:rFonts w:ascii="Times New Roman" w:hAnsi="Times New Roman"/>
          <w:sz w:val="28"/>
          <w:szCs w:val="28"/>
        </w:rPr>
        <w:t>.</w:t>
      </w:r>
      <w:r w:rsidRPr="004C69BF">
        <w:rPr>
          <w:rFonts w:ascii="Times New Roman" w:hAnsi="Times New Roman"/>
          <w:sz w:val="28"/>
          <w:szCs w:val="28"/>
          <w:lang w:val="en-US"/>
        </w:rPr>
        <w:t>M</w:t>
      </w:r>
      <w:r w:rsidRPr="004C69BF">
        <w:rPr>
          <w:rFonts w:ascii="Times New Roman" w:hAnsi="Times New Roman"/>
          <w:sz w:val="28"/>
          <w:szCs w:val="28"/>
        </w:rPr>
        <w:t xml:space="preserve">., </w:t>
      </w:r>
      <w:r w:rsidRPr="004C69BF">
        <w:rPr>
          <w:rFonts w:ascii="Times New Roman" w:hAnsi="Times New Roman"/>
          <w:sz w:val="28"/>
          <w:szCs w:val="28"/>
          <w:lang w:val="en-US"/>
        </w:rPr>
        <w:t>Kolesnikova</w:t>
      </w:r>
      <w:r w:rsidRPr="004C69BF">
        <w:rPr>
          <w:rFonts w:ascii="Times New Roman" w:hAnsi="Times New Roman"/>
          <w:sz w:val="28"/>
          <w:szCs w:val="28"/>
        </w:rPr>
        <w:t xml:space="preserve"> </w:t>
      </w:r>
      <w:r w:rsidRPr="004C69BF">
        <w:rPr>
          <w:rFonts w:ascii="Times New Roman" w:hAnsi="Times New Roman"/>
          <w:sz w:val="28"/>
          <w:szCs w:val="28"/>
          <w:lang w:val="en-US"/>
        </w:rPr>
        <w:t>A</w:t>
      </w:r>
      <w:r w:rsidRPr="004C69BF">
        <w:rPr>
          <w:rFonts w:ascii="Times New Roman" w:hAnsi="Times New Roman"/>
          <w:sz w:val="28"/>
          <w:szCs w:val="28"/>
        </w:rPr>
        <w:t>.</w:t>
      </w:r>
      <w:r w:rsidRPr="004C69BF">
        <w:rPr>
          <w:rFonts w:ascii="Times New Roman" w:hAnsi="Times New Roman"/>
          <w:sz w:val="28"/>
          <w:szCs w:val="28"/>
          <w:lang w:val="en-US"/>
        </w:rPr>
        <w:t>S</w:t>
      </w:r>
      <w:r w:rsidRPr="004C69BF">
        <w:rPr>
          <w:rFonts w:ascii="Times New Roman" w:hAnsi="Times New Roman"/>
          <w:sz w:val="28"/>
          <w:szCs w:val="28"/>
        </w:rPr>
        <w:t xml:space="preserve">., </w:t>
      </w:r>
      <w:r w:rsidRPr="004C69BF">
        <w:rPr>
          <w:rFonts w:ascii="Times New Roman" w:hAnsi="Times New Roman"/>
          <w:sz w:val="28"/>
          <w:szCs w:val="28"/>
          <w:lang w:val="en-US"/>
        </w:rPr>
        <w:t>Nefedov</w:t>
      </w:r>
      <w:r w:rsidRPr="004C69BF">
        <w:rPr>
          <w:rFonts w:ascii="Times New Roman" w:hAnsi="Times New Roman"/>
          <w:sz w:val="28"/>
          <w:szCs w:val="28"/>
        </w:rPr>
        <w:t xml:space="preserve"> </w:t>
      </w:r>
      <w:r w:rsidRPr="004C69BF">
        <w:rPr>
          <w:rFonts w:ascii="Times New Roman" w:hAnsi="Times New Roman"/>
          <w:sz w:val="28"/>
          <w:szCs w:val="28"/>
          <w:lang w:val="en-US"/>
        </w:rPr>
        <w:t>I</w:t>
      </w:r>
      <w:r w:rsidRPr="004C69BF">
        <w:rPr>
          <w:rFonts w:ascii="Times New Roman" w:hAnsi="Times New Roman"/>
          <w:sz w:val="28"/>
          <w:szCs w:val="28"/>
        </w:rPr>
        <w:t>.</w:t>
      </w:r>
      <w:r w:rsidRPr="004C69BF">
        <w:rPr>
          <w:rFonts w:ascii="Times New Roman" w:hAnsi="Times New Roman"/>
          <w:sz w:val="28"/>
          <w:szCs w:val="28"/>
          <w:lang w:val="en-US"/>
        </w:rPr>
        <w:t>S</w:t>
      </w:r>
      <w:r w:rsidRPr="004C69BF">
        <w:rPr>
          <w:rFonts w:ascii="Times New Roman" w:hAnsi="Times New Roman"/>
          <w:sz w:val="28"/>
          <w:szCs w:val="28"/>
        </w:rPr>
        <w:t xml:space="preserve">. </w:t>
      </w:r>
      <w:r w:rsidRPr="004C69BF">
        <w:rPr>
          <w:rFonts w:ascii="Times New Roman" w:hAnsi="Times New Roman"/>
          <w:sz w:val="28"/>
          <w:szCs w:val="28"/>
          <w:lang w:val="en-US"/>
        </w:rPr>
        <w:t>et</w:t>
      </w:r>
      <w:r w:rsidRPr="004C69BF">
        <w:rPr>
          <w:rFonts w:ascii="Times New Roman" w:hAnsi="Times New Roman"/>
          <w:sz w:val="28"/>
          <w:szCs w:val="28"/>
        </w:rPr>
        <w:t xml:space="preserve"> </w:t>
      </w:r>
      <w:r w:rsidRPr="004C69BF">
        <w:rPr>
          <w:rFonts w:ascii="Times New Roman" w:hAnsi="Times New Roman"/>
          <w:sz w:val="28"/>
          <w:szCs w:val="28"/>
          <w:lang w:val="en-US"/>
        </w:rPr>
        <w:t>al</w:t>
      </w:r>
      <w:r w:rsidRPr="004C69BF">
        <w:rPr>
          <w:rFonts w:ascii="Times New Roman" w:hAnsi="Times New Roman"/>
          <w:sz w:val="28"/>
          <w:szCs w:val="28"/>
        </w:rPr>
        <w:t xml:space="preserve">. </w:t>
      </w:r>
      <w:r w:rsidRPr="004C69BF">
        <w:rPr>
          <w:rFonts w:ascii="Times New Roman" w:hAnsi="Times New Roman"/>
          <w:sz w:val="28"/>
          <w:szCs w:val="28"/>
          <w:lang w:val="en-US"/>
        </w:rPr>
        <w:t>Giga– And Terahertz–Range Nanoemitter Based on Peapod Structure // Nano Research. – 2015. – Vol. 8. – P. 2595–2602.</w:t>
      </w:r>
    </w:p>
    <w:p w:rsidR="00762B5E" w:rsidRPr="004C69BF" w:rsidRDefault="00762B5E" w:rsidP="00762B5E">
      <w:pPr>
        <w:pStyle w:val="a3"/>
        <w:numPr>
          <w:ilvl w:val="0"/>
          <w:numId w:val="1"/>
        </w:numPr>
        <w:spacing w:after="120"/>
        <w:ind w:left="0" w:firstLine="0"/>
        <w:jc w:val="both"/>
        <w:rPr>
          <w:rFonts w:ascii="Times New Roman" w:hAnsi="Times New Roman"/>
          <w:sz w:val="28"/>
          <w:szCs w:val="28"/>
          <w:lang w:val="en-US"/>
        </w:rPr>
      </w:pPr>
      <w:r w:rsidRPr="004C69BF">
        <w:rPr>
          <w:rFonts w:ascii="Times New Roman" w:hAnsi="Times New Roman"/>
          <w:sz w:val="28"/>
          <w:szCs w:val="28"/>
          <w:lang w:val="en-US"/>
        </w:rPr>
        <w:t>Glukhova O.E., Kolesnikova A.S., Slepchenkov M.M., Nefedov I.S. Nanoemitter of Giga– And Terahertz Ranges Based on a Carbon Peapod: Numerical Simulation // Journal of Experimental and Theoretical Physics Letters (JETP Letters). – 2014. – Vol. 99. – P. 349–352.</w:t>
      </w:r>
    </w:p>
    <w:p w:rsidR="00762B5E" w:rsidRPr="004C69BF" w:rsidRDefault="00762B5E" w:rsidP="00762B5E">
      <w:pPr>
        <w:pStyle w:val="a3"/>
        <w:numPr>
          <w:ilvl w:val="0"/>
          <w:numId w:val="1"/>
        </w:numPr>
        <w:spacing w:after="120"/>
        <w:ind w:left="0" w:firstLine="0"/>
        <w:jc w:val="both"/>
        <w:rPr>
          <w:rFonts w:ascii="Times New Roman" w:hAnsi="Times New Roman"/>
          <w:sz w:val="28"/>
          <w:szCs w:val="28"/>
          <w:lang w:val="en-US"/>
        </w:rPr>
      </w:pPr>
      <w:r w:rsidRPr="004C69BF">
        <w:rPr>
          <w:rFonts w:ascii="Times New Roman" w:hAnsi="Times New Roman"/>
          <w:sz w:val="28"/>
          <w:szCs w:val="28"/>
          <w:lang w:val="en-US"/>
        </w:rPr>
        <w:t xml:space="preserve">Nefedov I.S., Valaginnopoulos C.A., Melnikov L.A. Perfect Absorption in Graphene Multilayers // Journal of 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C69BF">
        <w:rPr>
          <w:rFonts w:ascii="Times New Roman" w:hAnsi="Times New Roman"/>
          <w:sz w:val="28"/>
          <w:szCs w:val="28"/>
          <w:lang w:val="en-US"/>
        </w:rPr>
        <w:t>Optics. – 2013. – Vol. 15. – P. 114003.</w:t>
      </w:r>
    </w:p>
    <w:p w:rsidR="00762B5E" w:rsidRPr="008D7C11" w:rsidRDefault="00762B5E" w:rsidP="00762B5E">
      <w:pPr>
        <w:pStyle w:val="a3"/>
        <w:numPr>
          <w:ilvl w:val="0"/>
          <w:numId w:val="1"/>
        </w:numPr>
        <w:spacing w:after="120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69BF">
        <w:rPr>
          <w:rFonts w:ascii="Times New Roman" w:hAnsi="Times New Roman"/>
          <w:sz w:val="28"/>
          <w:szCs w:val="28"/>
        </w:rPr>
        <w:t>Глухова О.Е., Колесникова А.С., Нефедов И.С. и др. Углеродная нанотрубка как излучающий элемент терагерцевой антенны: математическое моделирование // Антенны. – 2013. – № 7 (194). – С.</w:t>
      </w:r>
      <w:r w:rsidRPr="004C69BF">
        <w:rPr>
          <w:rFonts w:ascii="Times New Roman" w:hAnsi="Times New Roman"/>
          <w:sz w:val="28"/>
          <w:szCs w:val="28"/>
          <w:lang w:val="en-US"/>
        </w:rPr>
        <w:t> </w:t>
      </w:r>
      <w:r w:rsidRPr="004C69BF">
        <w:rPr>
          <w:rFonts w:ascii="Times New Roman" w:hAnsi="Times New Roman"/>
          <w:sz w:val="28"/>
          <w:szCs w:val="28"/>
        </w:rPr>
        <w:t xml:space="preserve">066–070. </w:t>
      </w:r>
    </w:p>
    <w:p w:rsidR="00762B5E" w:rsidRPr="004C69BF" w:rsidRDefault="00762B5E" w:rsidP="00762B5E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  <w:lang w:val="en-US"/>
        </w:rPr>
      </w:pPr>
      <w:r w:rsidRPr="004C69BF">
        <w:rPr>
          <w:rFonts w:ascii="Times New Roman" w:hAnsi="Times New Roman"/>
          <w:sz w:val="28"/>
          <w:szCs w:val="28"/>
          <w:lang w:val="en-US"/>
        </w:rPr>
        <w:t>Kozina O.N., Melnikov L.A., Nefedov I.S. Dispersion Characteristics of Hyperbolic Graphene–Semiconductors Multilayered Structure // Progress in Biomedical Optics and Imaging – Proceedings of SPIE Optical Technologies in Biophysics and Medicine XVI; Laser Physics and Photonics XVI; and Computational Biophysics. – 2014. – P. 944811.</w:t>
      </w:r>
    </w:p>
    <w:p w:rsidR="00762B5E" w:rsidRPr="00356821" w:rsidRDefault="00762B5E" w:rsidP="00762B5E">
      <w:pPr>
        <w:pStyle w:val="Bodytext20"/>
        <w:numPr>
          <w:ilvl w:val="0"/>
          <w:numId w:val="1"/>
        </w:numPr>
        <w:spacing w:line="240" w:lineRule="auto"/>
        <w:ind w:left="0" w:right="-353" w:firstLine="0"/>
        <w:jc w:val="both"/>
        <w:rPr>
          <w:color w:val="222222"/>
          <w:shd w:val="clear" w:color="auto" w:fill="FFFFFF"/>
          <w:lang w:val="en-US"/>
        </w:rPr>
      </w:pPr>
      <w:r w:rsidRPr="00356821">
        <w:rPr>
          <w:color w:val="222222"/>
          <w:shd w:val="clear" w:color="auto" w:fill="FFFFFF"/>
          <w:lang w:val="en-US"/>
        </w:rPr>
        <w:t>Popov A.K., Nefedov I.S., Myslivets S.A. Hyperbo</w:t>
      </w:r>
      <w:r>
        <w:rPr>
          <w:color w:val="222222"/>
          <w:shd w:val="clear" w:color="auto" w:fill="FFFFFF"/>
          <w:lang w:val="en-US"/>
        </w:rPr>
        <w:t>lic carbon nanoforest for phase</w:t>
      </w:r>
      <w:r w:rsidRPr="00356821">
        <w:rPr>
          <w:color w:val="222222"/>
          <w:shd w:val="clear" w:color="auto" w:fill="FFFFFF"/>
          <w:lang w:val="en-US"/>
        </w:rPr>
        <w:t xml:space="preserve"> matching of ordinary and backward electromagnetic waves: second harmon</w:t>
      </w:r>
      <w:r>
        <w:rPr>
          <w:color w:val="222222"/>
          <w:shd w:val="clear" w:color="auto" w:fill="FFFFFF"/>
          <w:lang w:val="en-US"/>
        </w:rPr>
        <w:t>ic generation // ACS Photonics</w:t>
      </w:r>
      <w:r w:rsidRPr="00AE5D7F">
        <w:rPr>
          <w:color w:val="222222"/>
          <w:shd w:val="clear" w:color="auto" w:fill="FFFFFF"/>
          <w:lang w:val="en-US"/>
        </w:rPr>
        <w:t xml:space="preserve">. – </w:t>
      </w:r>
      <w:r w:rsidRPr="00356821">
        <w:rPr>
          <w:color w:val="222222"/>
          <w:shd w:val="clear" w:color="auto" w:fill="FFFFFF"/>
          <w:lang w:val="en-US"/>
        </w:rPr>
        <w:t xml:space="preserve"> 2017</w:t>
      </w:r>
      <w:r w:rsidRPr="00AE5D7F">
        <w:rPr>
          <w:color w:val="222222"/>
          <w:shd w:val="clear" w:color="auto" w:fill="FFFFFF"/>
          <w:lang w:val="en-US"/>
        </w:rPr>
        <w:t xml:space="preserve">. – </w:t>
      </w:r>
      <w:r w:rsidRPr="00356821">
        <w:rPr>
          <w:color w:val="222222"/>
          <w:shd w:val="clear" w:color="auto" w:fill="FFFFFF"/>
          <w:lang w:val="en-US"/>
        </w:rPr>
        <w:t>Vol. 4</w:t>
      </w:r>
      <w:r w:rsidRPr="00AE5D7F">
        <w:rPr>
          <w:color w:val="222222"/>
          <w:shd w:val="clear" w:color="auto" w:fill="FFFFFF"/>
          <w:lang w:val="en-US"/>
        </w:rPr>
        <w:t xml:space="preserve">. – </w:t>
      </w:r>
      <w:r w:rsidRPr="00356821">
        <w:rPr>
          <w:color w:val="222222"/>
          <w:shd w:val="clear" w:color="auto" w:fill="FFFFFF"/>
          <w:lang w:val="en-US"/>
        </w:rPr>
        <w:t xml:space="preserve"> No. 5</w:t>
      </w:r>
      <w:r w:rsidRPr="00AE5D7F">
        <w:rPr>
          <w:color w:val="222222"/>
          <w:shd w:val="clear" w:color="auto" w:fill="FFFFFF"/>
          <w:lang w:val="en-US"/>
        </w:rPr>
        <w:t>. –</w:t>
      </w:r>
      <w:r>
        <w:rPr>
          <w:color w:val="222222"/>
          <w:shd w:val="clear" w:color="auto" w:fill="FFFFFF"/>
          <w:lang w:val="en-US"/>
        </w:rPr>
        <w:t xml:space="preserve"> pp</w:t>
      </w:r>
      <w:r w:rsidRPr="00356821">
        <w:rPr>
          <w:color w:val="222222"/>
          <w:shd w:val="clear" w:color="auto" w:fill="FFFFFF"/>
          <w:lang w:val="en-US"/>
        </w:rPr>
        <w:t>. 1240–1244</w:t>
      </w:r>
      <w:r w:rsidRPr="001428AB">
        <w:rPr>
          <w:color w:val="222222"/>
          <w:shd w:val="clear" w:color="auto" w:fill="FFFFFF"/>
          <w:lang w:val="en-US"/>
        </w:rPr>
        <w:t>.</w:t>
      </w:r>
      <w:r w:rsidRPr="00356821">
        <w:rPr>
          <w:color w:val="222222"/>
          <w:shd w:val="clear" w:color="auto" w:fill="FFFFFF"/>
          <w:lang w:val="en-US"/>
        </w:rPr>
        <w:t xml:space="preserve"> </w:t>
      </w:r>
    </w:p>
    <w:p w:rsidR="00762B5E" w:rsidRPr="00356821" w:rsidRDefault="00762B5E" w:rsidP="00762B5E">
      <w:pPr>
        <w:pStyle w:val="Bodytext20"/>
        <w:numPr>
          <w:ilvl w:val="0"/>
          <w:numId w:val="1"/>
        </w:numPr>
        <w:spacing w:line="240" w:lineRule="auto"/>
        <w:ind w:left="0" w:right="-353" w:firstLine="0"/>
        <w:jc w:val="both"/>
        <w:rPr>
          <w:color w:val="222222"/>
          <w:shd w:val="clear" w:color="auto" w:fill="FFFFFF"/>
          <w:lang w:val="en-US"/>
        </w:rPr>
      </w:pPr>
      <w:r w:rsidRPr="00356821">
        <w:rPr>
          <w:color w:val="222222"/>
          <w:shd w:val="clear" w:color="auto" w:fill="FFFFFF"/>
          <w:lang w:val="en-US"/>
        </w:rPr>
        <w:t>Anoshkin I.V., Nefedova I.I., Lioubtchenko D.V., Nefedov I.S., Raisanen A.V. Single walled carbon nanotube quantification method employing the Raman signal intensity // Carbon</w:t>
      </w:r>
      <w:r w:rsidRPr="004C69BF">
        <w:rPr>
          <w:color w:val="222222"/>
          <w:shd w:val="clear" w:color="auto" w:fill="FFFFFF"/>
          <w:lang w:val="en-US"/>
        </w:rPr>
        <w:t>.–</w:t>
      </w:r>
      <w:r w:rsidRPr="00356821">
        <w:rPr>
          <w:color w:val="222222"/>
          <w:shd w:val="clear" w:color="auto" w:fill="FFFFFF"/>
          <w:lang w:val="en-US"/>
        </w:rPr>
        <w:t xml:space="preserve"> 2017, Vol. 116, pp. 547-552</w:t>
      </w:r>
    </w:p>
    <w:p w:rsidR="00762B5E" w:rsidRPr="00356821" w:rsidRDefault="00762B5E" w:rsidP="00762B5E">
      <w:pPr>
        <w:pStyle w:val="Bodytext20"/>
        <w:numPr>
          <w:ilvl w:val="0"/>
          <w:numId w:val="1"/>
        </w:numPr>
        <w:spacing w:line="240" w:lineRule="auto"/>
        <w:ind w:left="0" w:right="-353" w:firstLine="0"/>
        <w:jc w:val="both"/>
        <w:rPr>
          <w:color w:val="222222"/>
          <w:shd w:val="clear" w:color="auto" w:fill="FFFFFF"/>
          <w:lang w:val="en-US"/>
        </w:rPr>
      </w:pPr>
      <w:r w:rsidRPr="000C32B2">
        <w:rPr>
          <w:color w:val="222222"/>
          <w:shd w:val="clear" w:color="auto" w:fill="FFFFFF"/>
          <w:lang w:val="en-US"/>
        </w:rPr>
        <w:t>Nefedova I.I., Lioubtchenko D.V., Nefedov I.S., Raisanen A.V. Conductivity of Carbon Nanotube Layers at Low-Terahertz Frequencies // IEEE Transactions on Terahertz Science and Technology</w:t>
      </w:r>
      <w:r>
        <w:rPr>
          <w:color w:val="222222"/>
          <w:shd w:val="clear" w:color="auto" w:fill="FFFFFF"/>
          <w:lang w:val="en-US"/>
        </w:rPr>
        <w:t>.–</w:t>
      </w:r>
      <w:r w:rsidRPr="000C32B2">
        <w:rPr>
          <w:color w:val="222222"/>
          <w:shd w:val="clear" w:color="auto" w:fill="FFFFFF"/>
          <w:lang w:val="en-US"/>
        </w:rPr>
        <w:t xml:space="preserve"> 2016</w:t>
      </w:r>
      <w:r>
        <w:rPr>
          <w:color w:val="222222"/>
          <w:shd w:val="clear" w:color="auto" w:fill="FFFFFF"/>
          <w:lang w:val="en-US"/>
        </w:rPr>
        <w:t>.–</w:t>
      </w:r>
      <w:r w:rsidRPr="000C32B2">
        <w:rPr>
          <w:color w:val="222222"/>
          <w:shd w:val="clear" w:color="auto" w:fill="FFFFFF"/>
          <w:lang w:val="en-US"/>
        </w:rPr>
        <w:t xml:space="preserve"> Vol. 6, No. 6</w:t>
      </w:r>
      <w:r>
        <w:rPr>
          <w:color w:val="222222"/>
          <w:shd w:val="clear" w:color="auto" w:fill="FFFFFF"/>
          <w:lang w:val="en-US"/>
        </w:rPr>
        <w:t>.</w:t>
      </w:r>
      <w:r w:rsidRPr="000C32B2">
        <w:rPr>
          <w:color w:val="222222"/>
          <w:shd w:val="clear" w:color="auto" w:fill="FFFFFF"/>
          <w:lang w:val="en-US"/>
        </w:rPr>
        <w:t xml:space="preserve"> pp. 840-845</w:t>
      </w:r>
    </w:p>
    <w:p w:rsidR="00762B5E" w:rsidRPr="004C69BF" w:rsidRDefault="00762B5E" w:rsidP="00762B5E">
      <w:pPr>
        <w:pStyle w:val="Bodytext20"/>
        <w:numPr>
          <w:ilvl w:val="0"/>
          <w:numId w:val="1"/>
        </w:numPr>
        <w:spacing w:line="240" w:lineRule="auto"/>
        <w:ind w:left="0" w:right="-353" w:firstLine="0"/>
        <w:jc w:val="both"/>
        <w:rPr>
          <w:color w:val="222222"/>
          <w:shd w:val="clear" w:color="auto" w:fill="FFFFFF"/>
          <w:lang w:val="en-US"/>
        </w:rPr>
      </w:pPr>
      <w:r w:rsidRPr="00AE5D7F">
        <w:rPr>
          <w:color w:val="222222"/>
          <w:shd w:val="clear" w:color="auto" w:fill="FFFFFF"/>
          <w:lang w:val="en-US"/>
        </w:rPr>
        <w:t>Nefedov I.S., Melnikov L.A Plasmonic Terahertz Ampliﬁcation in Graphene-Based</w:t>
      </w:r>
      <w:r w:rsidRPr="00725505">
        <w:rPr>
          <w:color w:val="222222"/>
          <w:shd w:val="clear" w:color="auto" w:fill="FFFFFF"/>
          <w:lang w:val="en-US"/>
        </w:rPr>
        <w:t xml:space="preserve"> </w:t>
      </w:r>
      <w:r w:rsidRPr="00AE5D7F">
        <w:rPr>
          <w:color w:val="222222"/>
          <w:shd w:val="clear" w:color="auto" w:fill="FFFFFF"/>
          <w:lang w:val="en-US"/>
        </w:rPr>
        <w:t xml:space="preserve">Asymmetric Hyperbolic Metamaterial // Photonics 2015. – </w:t>
      </w:r>
      <w:r>
        <w:rPr>
          <w:color w:val="222222"/>
          <w:shd w:val="clear" w:color="auto" w:fill="FFFFFF"/>
          <w:lang w:val="en-US"/>
        </w:rPr>
        <w:t xml:space="preserve"> Vol. </w:t>
      </w:r>
      <w:r w:rsidRPr="00AE5D7F">
        <w:rPr>
          <w:color w:val="222222"/>
          <w:shd w:val="clear" w:color="auto" w:fill="FFFFFF"/>
          <w:lang w:val="en-US"/>
        </w:rPr>
        <w:t xml:space="preserve">2. – </w:t>
      </w:r>
      <w:r>
        <w:rPr>
          <w:color w:val="222222"/>
          <w:shd w:val="clear" w:color="auto" w:fill="FFFFFF"/>
          <w:lang w:val="en-US"/>
        </w:rPr>
        <w:t>pp.</w:t>
      </w:r>
      <w:r w:rsidRPr="00AE5D7F">
        <w:rPr>
          <w:color w:val="222222"/>
          <w:shd w:val="clear" w:color="auto" w:fill="FFFFFF"/>
          <w:lang w:val="en-US"/>
        </w:rPr>
        <w:t xml:space="preserve"> 594-603</w:t>
      </w:r>
      <w:r>
        <w:rPr>
          <w:color w:val="222222"/>
          <w:shd w:val="clear" w:color="auto" w:fill="FFFFFF"/>
          <w:lang w:val="en-US"/>
        </w:rPr>
        <w:t>.</w:t>
      </w:r>
    </w:p>
    <w:p w:rsidR="00762B5E" w:rsidRPr="00825C74" w:rsidRDefault="00762B5E" w:rsidP="00762B5E">
      <w:pPr>
        <w:pStyle w:val="Bodytext20"/>
        <w:numPr>
          <w:ilvl w:val="0"/>
          <w:numId w:val="1"/>
        </w:numPr>
        <w:spacing w:line="240" w:lineRule="auto"/>
        <w:ind w:left="0" w:firstLine="0"/>
        <w:jc w:val="both"/>
        <w:rPr>
          <w:color w:val="222222"/>
          <w:shd w:val="clear" w:color="auto" w:fill="FFFFFF"/>
          <w:lang w:val="en-US"/>
        </w:rPr>
      </w:pPr>
      <w:r w:rsidRPr="00825C74">
        <w:rPr>
          <w:color w:val="222222"/>
          <w:shd w:val="clear" w:color="auto" w:fill="FFFFFF"/>
          <w:lang w:val="en-US"/>
        </w:rPr>
        <w:t xml:space="preserve">Glukhova </w:t>
      </w:r>
      <w:r>
        <w:rPr>
          <w:color w:val="222222"/>
          <w:shd w:val="clear" w:color="auto" w:fill="FFFFFF"/>
          <w:lang w:val="en-US"/>
        </w:rPr>
        <w:t>O.E.</w:t>
      </w:r>
      <w:r w:rsidRPr="00825C74">
        <w:rPr>
          <w:color w:val="222222"/>
          <w:shd w:val="clear" w:color="auto" w:fill="FFFFFF"/>
          <w:lang w:val="en-US"/>
        </w:rPr>
        <w:t>, Nefedov</w:t>
      </w:r>
      <w:r>
        <w:rPr>
          <w:color w:val="222222"/>
          <w:shd w:val="clear" w:color="auto" w:fill="FFFFFF"/>
          <w:lang w:val="en-US"/>
        </w:rPr>
        <w:t xml:space="preserve"> I.S.</w:t>
      </w:r>
      <w:r w:rsidRPr="00825C74">
        <w:rPr>
          <w:color w:val="222222"/>
          <w:shd w:val="clear" w:color="auto" w:fill="FFFFFF"/>
          <w:lang w:val="en-US"/>
        </w:rPr>
        <w:t>, Shalin</w:t>
      </w:r>
      <w:r>
        <w:rPr>
          <w:color w:val="222222"/>
          <w:shd w:val="clear" w:color="auto" w:fill="FFFFFF"/>
          <w:lang w:val="en-US"/>
        </w:rPr>
        <w:t xml:space="preserve"> A.S.</w:t>
      </w:r>
      <w:r w:rsidRPr="00825C74">
        <w:rPr>
          <w:color w:val="222222"/>
          <w:shd w:val="clear" w:color="auto" w:fill="FFFFFF"/>
          <w:lang w:val="en-US"/>
        </w:rPr>
        <w:t>, Slepchenkov</w:t>
      </w:r>
      <w:r>
        <w:rPr>
          <w:color w:val="222222"/>
          <w:shd w:val="clear" w:color="auto" w:fill="FFFFFF"/>
          <w:lang w:val="en-US"/>
        </w:rPr>
        <w:t xml:space="preserve"> M.M. </w:t>
      </w:r>
      <w:r w:rsidRPr="00825C74">
        <w:rPr>
          <w:color w:val="222222"/>
          <w:shd w:val="clear" w:color="auto" w:fill="FFFFFF"/>
          <w:lang w:val="en-US"/>
        </w:rPr>
        <w:t>New 2D graphene hybrid composites as an effective base element of optical nanodevices</w:t>
      </w:r>
      <w:r>
        <w:rPr>
          <w:color w:val="222222"/>
          <w:shd w:val="clear" w:color="auto" w:fill="FFFFFF"/>
          <w:lang w:val="en-US"/>
        </w:rPr>
        <w:t xml:space="preserve"> // </w:t>
      </w:r>
      <w:r w:rsidRPr="00825C74">
        <w:rPr>
          <w:color w:val="222222"/>
          <w:shd w:val="clear" w:color="auto" w:fill="FFFFFF"/>
          <w:lang w:val="en-US"/>
        </w:rPr>
        <w:t xml:space="preserve">Beilstein Journal of </w:t>
      </w:r>
      <w:r>
        <w:rPr>
          <w:color w:val="222222"/>
          <w:shd w:val="clear" w:color="auto" w:fill="FFFFFF"/>
          <w:lang w:val="en-US"/>
        </w:rPr>
        <w:t xml:space="preserve"> </w:t>
      </w:r>
      <w:r w:rsidRPr="00825C74">
        <w:rPr>
          <w:color w:val="222222"/>
          <w:shd w:val="clear" w:color="auto" w:fill="FFFFFF"/>
          <w:lang w:val="en-US"/>
        </w:rPr>
        <w:t>Nanotechnology</w:t>
      </w:r>
      <w:r>
        <w:rPr>
          <w:color w:val="222222"/>
          <w:shd w:val="clear" w:color="auto" w:fill="FFFFFF"/>
          <w:lang w:val="en-US"/>
        </w:rPr>
        <w:t xml:space="preserve">.– </w:t>
      </w:r>
      <w:r w:rsidRPr="00825C74">
        <w:rPr>
          <w:color w:val="222222"/>
          <w:shd w:val="clear" w:color="auto" w:fill="FFFFFF"/>
        </w:rPr>
        <w:t>2018.–</w:t>
      </w:r>
      <w:r>
        <w:rPr>
          <w:color w:val="222222"/>
          <w:shd w:val="clear" w:color="auto" w:fill="FFFFFF"/>
          <w:lang w:val="en-US"/>
        </w:rPr>
        <w:t xml:space="preserve"> Vol</w:t>
      </w:r>
      <w:r w:rsidRPr="00825C74">
        <w:rPr>
          <w:color w:val="222222"/>
          <w:shd w:val="clear" w:color="auto" w:fill="FFFFFF"/>
        </w:rPr>
        <w:t>. 9.</w:t>
      </w:r>
      <w:r>
        <w:rPr>
          <w:color w:val="222222"/>
          <w:shd w:val="clear" w:color="auto" w:fill="FFFFFF"/>
          <w:lang w:val="en-US"/>
        </w:rPr>
        <w:t>–</w:t>
      </w:r>
      <w:r w:rsidRPr="00825C74">
        <w:rPr>
          <w:color w:val="222222"/>
          <w:shd w:val="clear" w:color="auto" w:fill="FFFFFF"/>
        </w:rPr>
        <w:t xml:space="preserve"> </w:t>
      </w:r>
      <w:r>
        <w:rPr>
          <w:color w:val="222222"/>
          <w:shd w:val="clear" w:color="auto" w:fill="FFFFFF"/>
          <w:lang w:val="en-US"/>
        </w:rPr>
        <w:t>pp</w:t>
      </w:r>
      <w:r w:rsidRPr="00825C74">
        <w:rPr>
          <w:color w:val="222222"/>
          <w:shd w:val="clear" w:color="auto" w:fill="FFFFFF"/>
        </w:rPr>
        <w:t>. 1321-1327</w:t>
      </w:r>
      <w:r>
        <w:rPr>
          <w:color w:val="222222"/>
          <w:shd w:val="clear" w:color="auto" w:fill="FFFFFF"/>
          <w:lang w:val="en-US"/>
        </w:rPr>
        <w:t>.</w:t>
      </w:r>
    </w:p>
    <w:p w:rsidR="008F2378" w:rsidRDefault="008F2378"/>
    <w:sectPr w:rsidR="008F2378" w:rsidSect="008F2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E15F88"/>
    <w:multiLevelType w:val="hybridMultilevel"/>
    <w:tmpl w:val="516625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62B5E"/>
    <w:rsid w:val="00762B5E"/>
    <w:rsid w:val="008F2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3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link w:val="Bodytext20"/>
    <w:rsid w:val="00762B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Bodytext20">
    <w:name w:val="Body text (2)"/>
    <w:basedOn w:val="a"/>
    <w:link w:val="Bodytext2"/>
    <w:rsid w:val="00762B5E"/>
    <w:pPr>
      <w:widowControl w:val="0"/>
      <w:shd w:val="clear" w:color="auto" w:fill="FFFFFF"/>
      <w:spacing w:after="0" w:line="320" w:lineRule="exact"/>
      <w:ind w:hanging="44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762B5E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334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</dc:creator>
  <cp:lastModifiedBy>DEK</cp:lastModifiedBy>
  <cp:revision>1</cp:revision>
  <dcterms:created xsi:type="dcterms:W3CDTF">2018-10-18T07:04:00Z</dcterms:created>
  <dcterms:modified xsi:type="dcterms:W3CDTF">2018-10-18T07:06:00Z</dcterms:modified>
</cp:coreProperties>
</file>