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2C3E" w:rsidRPr="009F7F1F" w:rsidRDefault="00872C3E" w:rsidP="00872C3E">
      <w:pPr>
        <w:jc w:val="center"/>
        <w:rPr>
          <w:rFonts w:ascii="Times New Roman" w:hAnsi="Times New Roman" w:cs="Times New Roman"/>
          <w:b/>
          <w:sz w:val="28"/>
          <w:szCs w:val="28"/>
        </w:rPr>
      </w:pPr>
      <w:r w:rsidRPr="00F813BB">
        <w:rPr>
          <w:rFonts w:ascii="Times New Roman" w:hAnsi="Times New Roman" w:cs="Times New Roman"/>
          <w:b/>
          <w:sz w:val="28"/>
          <w:szCs w:val="28"/>
        </w:rPr>
        <w:t xml:space="preserve">Основные публикации сотрудников ведущей организации </w:t>
      </w:r>
      <w:r w:rsidRPr="004E3B63">
        <w:rPr>
          <w:rFonts w:ascii="Times New Roman" w:hAnsi="Times New Roman" w:cs="Times New Roman"/>
          <w:b/>
          <w:sz w:val="28"/>
          <w:szCs w:val="28"/>
          <w:lang w:eastAsia="ar-SA"/>
        </w:rPr>
        <w:t>ФГБОУ ВО «Саратовский государственный технический университет имени Гаг</w:t>
      </w:r>
      <w:r w:rsidRPr="004E3B63">
        <w:rPr>
          <w:rFonts w:ascii="Times New Roman" w:hAnsi="Times New Roman" w:cs="Times New Roman"/>
          <w:b/>
          <w:sz w:val="28"/>
          <w:szCs w:val="28"/>
          <w:lang w:eastAsia="ar-SA"/>
        </w:rPr>
        <w:t>а</w:t>
      </w:r>
      <w:r w:rsidRPr="004E3B63">
        <w:rPr>
          <w:rFonts w:ascii="Times New Roman" w:hAnsi="Times New Roman" w:cs="Times New Roman"/>
          <w:b/>
          <w:sz w:val="28"/>
          <w:szCs w:val="28"/>
          <w:lang w:eastAsia="ar-SA"/>
        </w:rPr>
        <w:t>рина Ю.А.»</w:t>
      </w:r>
      <w:r>
        <w:rPr>
          <w:rFonts w:ascii="Times New Roman" w:hAnsi="Times New Roman" w:cs="Times New Roman"/>
          <w:b/>
          <w:sz w:val="28"/>
          <w:szCs w:val="28"/>
          <w:lang w:eastAsia="ar-SA"/>
        </w:rPr>
        <w:t xml:space="preserve"> по теме диссертации</w:t>
      </w:r>
    </w:p>
    <w:p w:rsidR="00872C3E" w:rsidRPr="009F7F1F" w:rsidRDefault="00872C3E" w:rsidP="00872C3E">
      <w:pPr>
        <w:rPr>
          <w:rFonts w:ascii="Times New Roman" w:hAnsi="Times New Roman" w:cs="Times New Roman"/>
          <w:b/>
          <w:sz w:val="28"/>
          <w:szCs w:val="28"/>
        </w:rPr>
      </w:pPr>
    </w:p>
    <w:p w:rsidR="00872C3E" w:rsidRPr="00872C3E" w:rsidRDefault="00872C3E" w:rsidP="00872C3E">
      <w:pPr>
        <w:numPr>
          <w:ilvl w:val="0"/>
          <w:numId w:val="1"/>
        </w:numPr>
        <w:shd w:val="clear" w:color="auto" w:fill="FFFFFF"/>
        <w:tabs>
          <w:tab w:val="num" w:pos="0"/>
        </w:tabs>
        <w:spacing w:after="240"/>
        <w:ind w:left="0" w:firstLine="0"/>
        <w:rPr>
          <w:rFonts w:ascii="Times New Roman" w:eastAsia="Times New Roman" w:hAnsi="Times New Roman" w:cs="Times New Roman"/>
          <w:color w:val="000000" w:themeColor="text1"/>
          <w:lang w:val="en-US"/>
        </w:rPr>
      </w:pPr>
      <w:r w:rsidRPr="00872C3E">
        <w:rPr>
          <w:rFonts w:ascii="Times New Roman" w:eastAsia="Times New Roman" w:hAnsi="Times New Roman" w:cs="Times New Roman"/>
          <w:color w:val="000000" w:themeColor="text1"/>
          <w:shd w:val="clear" w:color="auto" w:fill="FFFFFF"/>
          <w:lang w:val="en-US"/>
        </w:rPr>
        <w:t>Makarov V.V., Hramov A.E., Koronovskii A.A., Alekseev K.N., Maksimenko V.A., Greenaway M.T., Fromhold T.M., Moskalenko O.I., Balanov A.G. Sub-terahertz amplification in a semiconductor superlattice with moving charge domains // Applied Physics Letters.– 2015.– Vol. 106.– P. 043503</w:t>
      </w:r>
    </w:p>
    <w:p w:rsidR="00872C3E" w:rsidRPr="00872C3E" w:rsidRDefault="00872C3E" w:rsidP="00872C3E">
      <w:pPr>
        <w:numPr>
          <w:ilvl w:val="0"/>
          <w:numId w:val="1"/>
        </w:numPr>
        <w:shd w:val="clear" w:color="auto" w:fill="FFFFFF"/>
        <w:tabs>
          <w:tab w:val="num" w:pos="0"/>
        </w:tabs>
        <w:spacing w:after="240"/>
        <w:ind w:left="0" w:firstLine="0"/>
        <w:rPr>
          <w:rFonts w:ascii="Times New Roman" w:eastAsia="Times New Roman" w:hAnsi="Times New Roman" w:cs="Times New Roman"/>
          <w:color w:val="000000" w:themeColor="text1"/>
        </w:rPr>
      </w:pPr>
      <w:r w:rsidRPr="00872C3E">
        <w:rPr>
          <w:rFonts w:ascii="Times New Roman" w:eastAsia="Times New Roman" w:hAnsi="Times New Roman" w:cs="Times New Roman"/>
          <w:color w:val="000000" w:themeColor="text1"/>
        </w:rPr>
        <w:t>Кураев А. А., Куркин С. А., Короновский А. А., Рак А.О., Синицын А.К., Храмов А. Е. Перспективы применения сверхпроводящих электрод</w:t>
      </w:r>
      <w:r w:rsidRPr="00872C3E">
        <w:rPr>
          <w:rFonts w:ascii="Times New Roman" w:eastAsia="Times New Roman" w:hAnsi="Times New Roman" w:cs="Times New Roman"/>
          <w:color w:val="000000" w:themeColor="text1"/>
        </w:rPr>
        <w:t>и</w:t>
      </w:r>
      <w:r w:rsidRPr="00872C3E">
        <w:rPr>
          <w:rFonts w:ascii="Times New Roman" w:eastAsia="Times New Roman" w:hAnsi="Times New Roman" w:cs="Times New Roman"/>
          <w:color w:val="000000" w:themeColor="text1"/>
        </w:rPr>
        <w:t>намических структур в электронных приборах в целях продвижения их в т</w:t>
      </w:r>
      <w:r w:rsidRPr="00872C3E">
        <w:rPr>
          <w:rFonts w:ascii="Times New Roman" w:eastAsia="Times New Roman" w:hAnsi="Times New Roman" w:cs="Times New Roman"/>
          <w:color w:val="000000" w:themeColor="text1"/>
        </w:rPr>
        <w:t>е</w:t>
      </w:r>
      <w:r w:rsidRPr="00872C3E">
        <w:rPr>
          <w:rFonts w:ascii="Times New Roman" w:eastAsia="Times New Roman" w:hAnsi="Times New Roman" w:cs="Times New Roman"/>
          <w:color w:val="000000" w:themeColor="text1"/>
        </w:rPr>
        <w:t>рагерцовый диапазон. // Журнал технической физики.– 2015.– Вып. № 4.– Т. 85.– С. 105-109.</w:t>
      </w:r>
    </w:p>
    <w:p w:rsidR="00872C3E" w:rsidRPr="00872C3E" w:rsidRDefault="00872C3E" w:rsidP="00872C3E">
      <w:pPr>
        <w:numPr>
          <w:ilvl w:val="0"/>
          <w:numId w:val="1"/>
        </w:numPr>
        <w:shd w:val="clear" w:color="auto" w:fill="FFFFFF"/>
        <w:tabs>
          <w:tab w:val="num" w:pos="0"/>
        </w:tabs>
        <w:spacing w:after="240"/>
        <w:ind w:left="0" w:firstLine="0"/>
        <w:rPr>
          <w:rFonts w:ascii="Times New Roman" w:eastAsia="Times New Roman" w:hAnsi="Times New Roman" w:cs="Times New Roman"/>
          <w:color w:val="000000" w:themeColor="text1"/>
        </w:rPr>
      </w:pPr>
      <w:r w:rsidRPr="00872C3E">
        <w:rPr>
          <w:rFonts w:ascii="Times New Roman" w:eastAsia="Times New Roman" w:hAnsi="Times New Roman" w:cs="Times New Roman"/>
          <w:color w:val="000000" w:themeColor="text1"/>
        </w:rPr>
        <w:t>Храмов А.Е., Баланов А.Г., Запевалов В.Е., Глявин М.Ю., Аксенчик А.В., Кураев А.А., Киринович И.Ф., Мясин Е.А., Еремка В.Д., Кузьмичев И.К., Куркин С.А., Огаркова Л.В., Фролов Н.С., Науменко В.Д., Бадарин А.А., Короновский А.А., Петрик Г.А., Макаров В.В., Руннова А.Е., Фромхолд М. и др. Генерация и усиление сигналов терагерцового диапазона  // Колле</w:t>
      </w:r>
      <w:r w:rsidRPr="00872C3E">
        <w:rPr>
          <w:rFonts w:ascii="Times New Roman" w:eastAsia="Times New Roman" w:hAnsi="Times New Roman" w:cs="Times New Roman"/>
          <w:color w:val="000000" w:themeColor="text1"/>
        </w:rPr>
        <w:t>к</w:t>
      </w:r>
      <w:r w:rsidRPr="00872C3E">
        <w:rPr>
          <w:rFonts w:ascii="Times New Roman" w:eastAsia="Times New Roman" w:hAnsi="Times New Roman" w:cs="Times New Roman"/>
          <w:color w:val="000000" w:themeColor="text1"/>
        </w:rPr>
        <w:t>тивная монография.– 2016.– Саратов.– Саратовский государственный техн</w:t>
      </w:r>
      <w:r w:rsidRPr="00872C3E">
        <w:rPr>
          <w:rFonts w:ascii="Times New Roman" w:eastAsia="Times New Roman" w:hAnsi="Times New Roman" w:cs="Times New Roman"/>
          <w:color w:val="000000" w:themeColor="text1"/>
        </w:rPr>
        <w:t>и</w:t>
      </w:r>
      <w:r w:rsidRPr="00872C3E">
        <w:rPr>
          <w:rFonts w:ascii="Times New Roman" w:eastAsia="Times New Roman" w:hAnsi="Times New Roman" w:cs="Times New Roman"/>
          <w:color w:val="000000" w:themeColor="text1"/>
        </w:rPr>
        <w:t xml:space="preserve">ческий университет им. Гагарина Ю. А. </w:t>
      </w:r>
    </w:p>
    <w:p w:rsidR="00872C3E" w:rsidRPr="00872C3E" w:rsidRDefault="00872C3E" w:rsidP="00872C3E">
      <w:pPr>
        <w:numPr>
          <w:ilvl w:val="0"/>
          <w:numId w:val="1"/>
        </w:numPr>
        <w:shd w:val="clear" w:color="auto" w:fill="FFFFFF"/>
        <w:tabs>
          <w:tab w:val="num" w:pos="0"/>
        </w:tabs>
        <w:spacing w:after="240"/>
        <w:ind w:left="0" w:firstLine="0"/>
        <w:rPr>
          <w:rFonts w:ascii="Times New Roman" w:eastAsia="Times New Roman" w:hAnsi="Times New Roman" w:cs="Times New Roman"/>
          <w:color w:val="000000" w:themeColor="text1"/>
          <w:lang w:val="en-US"/>
        </w:rPr>
      </w:pPr>
      <w:r w:rsidRPr="00872C3E">
        <w:rPr>
          <w:rFonts w:ascii="Times New Roman" w:eastAsia="Times New Roman" w:hAnsi="Times New Roman" w:cs="Times New Roman"/>
          <w:color w:val="000000" w:themeColor="text1"/>
          <w:lang w:val="en-US"/>
        </w:rPr>
        <w:t>Kurkin</w:t>
      </w:r>
      <w:r w:rsidRPr="00872C3E">
        <w:rPr>
          <w:rFonts w:ascii="Times New Roman" w:eastAsia="Times New Roman" w:hAnsi="Times New Roman" w:cs="Times New Roman"/>
          <w:color w:val="000000" w:themeColor="text1"/>
        </w:rPr>
        <w:t xml:space="preserve"> </w:t>
      </w:r>
      <w:r w:rsidRPr="00872C3E">
        <w:rPr>
          <w:rFonts w:ascii="Times New Roman" w:eastAsia="Times New Roman" w:hAnsi="Times New Roman" w:cs="Times New Roman"/>
          <w:color w:val="000000" w:themeColor="text1"/>
          <w:lang w:val="en-US"/>
        </w:rPr>
        <w:t>S</w:t>
      </w:r>
      <w:r w:rsidRPr="00872C3E">
        <w:rPr>
          <w:rFonts w:ascii="Times New Roman" w:eastAsia="Times New Roman" w:hAnsi="Times New Roman" w:cs="Times New Roman"/>
          <w:color w:val="000000" w:themeColor="text1"/>
        </w:rPr>
        <w:t>.</w:t>
      </w:r>
      <w:r w:rsidRPr="00872C3E">
        <w:rPr>
          <w:rFonts w:ascii="Times New Roman" w:eastAsia="Times New Roman" w:hAnsi="Times New Roman" w:cs="Times New Roman"/>
          <w:color w:val="000000" w:themeColor="text1"/>
          <w:lang w:val="en-US"/>
        </w:rPr>
        <w:t>A</w:t>
      </w:r>
      <w:r w:rsidRPr="00872C3E">
        <w:rPr>
          <w:rFonts w:ascii="Times New Roman" w:eastAsia="Times New Roman" w:hAnsi="Times New Roman" w:cs="Times New Roman"/>
          <w:color w:val="000000" w:themeColor="text1"/>
        </w:rPr>
        <w:t xml:space="preserve">., </w:t>
      </w:r>
      <w:r w:rsidRPr="00872C3E">
        <w:rPr>
          <w:rFonts w:ascii="Times New Roman" w:eastAsia="Times New Roman" w:hAnsi="Times New Roman" w:cs="Times New Roman"/>
          <w:color w:val="000000" w:themeColor="text1"/>
          <w:lang w:val="en-US"/>
        </w:rPr>
        <w:t>Frolov</w:t>
      </w:r>
      <w:r w:rsidRPr="00872C3E">
        <w:rPr>
          <w:rFonts w:ascii="Times New Roman" w:eastAsia="Times New Roman" w:hAnsi="Times New Roman" w:cs="Times New Roman"/>
          <w:color w:val="000000" w:themeColor="text1"/>
        </w:rPr>
        <w:t xml:space="preserve"> </w:t>
      </w:r>
      <w:r w:rsidRPr="00872C3E">
        <w:rPr>
          <w:rFonts w:ascii="Times New Roman" w:eastAsia="Times New Roman" w:hAnsi="Times New Roman" w:cs="Times New Roman"/>
          <w:color w:val="000000" w:themeColor="text1"/>
          <w:lang w:val="en-US"/>
        </w:rPr>
        <w:t>N</w:t>
      </w:r>
      <w:r w:rsidRPr="00872C3E">
        <w:rPr>
          <w:rFonts w:ascii="Times New Roman" w:eastAsia="Times New Roman" w:hAnsi="Times New Roman" w:cs="Times New Roman"/>
          <w:color w:val="000000" w:themeColor="text1"/>
        </w:rPr>
        <w:t>.</w:t>
      </w:r>
      <w:r w:rsidRPr="00872C3E">
        <w:rPr>
          <w:rFonts w:ascii="Times New Roman" w:eastAsia="Times New Roman" w:hAnsi="Times New Roman" w:cs="Times New Roman"/>
          <w:color w:val="000000" w:themeColor="text1"/>
          <w:lang w:val="en-US"/>
        </w:rPr>
        <w:t>S</w:t>
      </w:r>
      <w:r w:rsidRPr="00872C3E">
        <w:rPr>
          <w:rFonts w:ascii="Times New Roman" w:eastAsia="Times New Roman" w:hAnsi="Times New Roman" w:cs="Times New Roman"/>
          <w:color w:val="000000" w:themeColor="text1"/>
        </w:rPr>
        <w:t xml:space="preserve">., </w:t>
      </w:r>
      <w:r w:rsidRPr="00872C3E">
        <w:rPr>
          <w:rFonts w:ascii="Times New Roman" w:eastAsia="Times New Roman" w:hAnsi="Times New Roman" w:cs="Times New Roman"/>
          <w:color w:val="000000" w:themeColor="text1"/>
          <w:lang w:val="en-US"/>
        </w:rPr>
        <w:t>Rak</w:t>
      </w:r>
      <w:r w:rsidRPr="00872C3E">
        <w:rPr>
          <w:rFonts w:ascii="Times New Roman" w:eastAsia="Times New Roman" w:hAnsi="Times New Roman" w:cs="Times New Roman"/>
          <w:color w:val="000000" w:themeColor="text1"/>
        </w:rPr>
        <w:t xml:space="preserve"> </w:t>
      </w:r>
      <w:r w:rsidRPr="00872C3E">
        <w:rPr>
          <w:rFonts w:ascii="Times New Roman" w:eastAsia="Times New Roman" w:hAnsi="Times New Roman" w:cs="Times New Roman"/>
          <w:color w:val="000000" w:themeColor="text1"/>
          <w:lang w:val="en-US"/>
        </w:rPr>
        <w:t>A</w:t>
      </w:r>
      <w:r w:rsidRPr="00872C3E">
        <w:rPr>
          <w:rFonts w:ascii="Times New Roman" w:eastAsia="Times New Roman" w:hAnsi="Times New Roman" w:cs="Times New Roman"/>
          <w:color w:val="000000" w:themeColor="text1"/>
        </w:rPr>
        <w:t>.</w:t>
      </w:r>
      <w:r w:rsidRPr="00872C3E">
        <w:rPr>
          <w:rFonts w:ascii="Times New Roman" w:eastAsia="Times New Roman" w:hAnsi="Times New Roman" w:cs="Times New Roman"/>
          <w:color w:val="000000" w:themeColor="text1"/>
          <w:lang w:val="en-US"/>
        </w:rPr>
        <w:t>O</w:t>
      </w:r>
      <w:r w:rsidRPr="00872C3E">
        <w:rPr>
          <w:rFonts w:ascii="Times New Roman" w:eastAsia="Times New Roman" w:hAnsi="Times New Roman" w:cs="Times New Roman"/>
          <w:color w:val="000000" w:themeColor="text1"/>
        </w:rPr>
        <w:t xml:space="preserve">., </w:t>
      </w:r>
      <w:r w:rsidRPr="00872C3E">
        <w:rPr>
          <w:rFonts w:ascii="Times New Roman" w:eastAsia="Times New Roman" w:hAnsi="Times New Roman" w:cs="Times New Roman"/>
          <w:color w:val="000000" w:themeColor="text1"/>
          <w:lang w:val="en-US"/>
        </w:rPr>
        <w:t>Koronovskii</w:t>
      </w:r>
      <w:r w:rsidRPr="00872C3E">
        <w:rPr>
          <w:rFonts w:ascii="Times New Roman" w:eastAsia="Times New Roman" w:hAnsi="Times New Roman" w:cs="Times New Roman"/>
          <w:color w:val="000000" w:themeColor="text1"/>
        </w:rPr>
        <w:t xml:space="preserve"> </w:t>
      </w:r>
      <w:r w:rsidRPr="00872C3E">
        <w:rPr>
          <w:rFonts w:ascii="Times New Roman" w:eastAsia="Times New Roman" w:hAnsi="Times New Roman" w:cs="Times New Roman"/>
          <w:color w:val="000000" w:themeColor="text1"/>
          <w:lang w:val="en-US"/>
        </w:rPr>
        <w:t>A</w:t>
      </w:r>
      <w:r w:rsidRPr="00872C3E">
        <w:rPr>
          <w:rFonts w:ascii="Times New Roman" w:eastAsia="Times New Roman" w:hAnsi="Times New Roman" w:cs="Times New Roman"/>
          <w:color w:val="000000" w:themeColor="text1"/>
        </w:rPr>
        <w:t>.</w:t>
      </w:r>
      <w:r w:rsidRPr="00872C3E">
        <w:rPr>
          <w:rFonts w:ascii="Times New Roman" w:eastAsia="Times New Roman" w:hAnsi="Times New Roman" w:cs="Times New Roman"/>
          <w:color w:val="000000" w:themeColor="text1"/>
          <w:lang w:val="en-US"/>
        </w:rPr>
        <w:t>A</w:t>
      </w:r>
      <w:r w:rsidRPr="00872C3E">
        <w:rPr>
          <w:rFonts w:ascii="Times New Roman" w:eastAsia="Times New Roman" w:hAnsi="Times New Roman" w:cs="Times New Roman"/>
          <w:color w:val="000000" w:themeColor="text1"/>
        </w:rPr>
        <w:t xml:space="preserve">., </w:t>
      </w:r>
      <w:r w:rsidRPr="00872C3E">
        <w:rPr>
          <w:rFonts w:ascii="Times New Roman" w:eastAsia="Times New Roman" w:hAnsi="Times New Roman" w:cs="Times New Roman"/>
          <w:color w:val="000000" w:themeColor="text1"/>
          <w:lang w:val="en-US"/>
        </w:rPr>
        <w:t>Kuraev</w:t>
      </w:r>
      <w:r w:rsidRPr="00872C3E">
        <w:rPr>
          <w:rFonts w:ascii="Times New Roman" w:eastAsia="Times New Roman" w:hAnsi="Times New Roman" w:cs="Times New Roman"/>
          <w:color w:val="000000" w:themeColor="text1"/>
        </w:rPr>
        <w:t xml:space="preserve"> </w:t>
      </w:r>
      <w:r w:rsidRPr="00872C3E">
        <w:rPr>
          <w:rFonts w:ascii="Times New Roman" w:eastAsia="Times New Roman" w:hAnsi="Times New Roman" w:cs="Times New Roman"/>
          <w:color w:val="000000" w:themeColor="text1"/>
          <w:lang w:val="en-US"/>
        </w:rPr>
        <w:t>A</w:t>
      </w:r>
      <w:r w:rsidRPr="00872C3E">
        <w:rPr>
          <w:rFonts w:ascii="Times New Roman" w:eastAsia="Times New Roman" w:hAnsi="Times New Roman" w:cs="Times New Roman"/>
          <w:color w:val="000000" w:themeColor="text1"/>
        </w:rPr>
        <w:t>.</w:t>
      </w:r>
      <w:r w:rsidRPr="00872C3E">
        <w:rPr>
          <w:rFonts w:ascii="Times New Roman" w:eastAsia="Times New Roman" w:hAnsi="Times New Roman" w:cs="Times New Roman"/>
          <w:color w:val="000000" w:themeColor="text1"/>
          <w:lang w:val="en-US"/>
        </w:rPr>
        <w:t>A</w:t>
      </w:r>
      <w:r w:rsidRPr="00872C3E">
        <w:rPr>
          <w:rFonts w:ascii="Times New Roman" w:eastAsia="Times New Roman" w:hAnsi="Times New Roman" w:cs="Times New Roman"/>
          <w:color w:val="000000" w:themeColor="text1"/>
        </w:rPr>
        <w:t xml:space="preserve">., </w:t>
      </w:r>
      <w:r w:rsidRPr="00872C3E">
        <w:rPr>
          <w:rFonts w:ascii="Times New Roman" w:eastAsia="Times New Roman" w:hAnsi="Times New Roman" w:cs="Times New Roman"/>
          <w:color w:val="000000" w:themeColor="text1"/>
          <w:lang w:val="en-US"/>
        </w:rPr>
        <w:t>Hramov</w:t>
      </w:r>
      <w:r w:rsidRPr="00872C3E">
        <w:rPr>
          <w:rFonts w:ascii="Times New Roman" w:eastAsia="Times New Roman" w:hAnsi="Times New Roman" w:cs="Times New Roman"/>
          <w:color w:val="000000" w:themeColor="text1"/>
        </w:rPr>
        <w:t xml:space="preserve"> </w:t>
      </w:r>
      <w:r w:rsidRPr="00872C3E">
        <w:rPr>
          <w:rFonts w:ascii="Times New Roman" w:eastAsia="Times New Roman" w:hAnsi="Times New Roman" w:cs="Times New Roman"/>
          <w:color w:val="000000" w:themeColor="text1"/>
          <w:lang w:val="en-US"/>
        </w:rPr>
        <w:t>A</w:t>
      </w:r>
      <w:r w:rsidRPr="00872C3E">
        <w:rPr>
          <w:rFonts w:ascii="Times New Roman" w:eastAsia="Times New Roman" w:hAnsi="Times New Roman" w:cs="Times New Roman"/>
          <w:color w:val="000000" w:themeColor="text1"/>
        </w:rPr>
        <w:t>.</w:t>
      </w:r>
      <w:r w:rsidRPr="00872C3E">
        <w:rPr>
          <w:rFonts w:ascii="Times New Roman" w:eastAsia="Times New Roman" w:hAnsi="Times New Roman" w:cs="Times New Roman"/>
          <w:color w:val="000000" w:themeColor="text1"/>
          <w:lang w:val="en-US"/>
        </w:rPr>
        <w:t>E</w:t>
      </w:r>
      <w:r w:rsidRPr="00872C3E">
        <w:rPr>
          <w:rFonts w:ascii="Times New Roman" w:eastAsia="Times New Roman" w:hAnsi="Times New Roman" w:cs="Times New Roman"/>
          <w:color w:val="000000" w:themeColor="text1"/>
        </w:rPr>
        <w:t xml:space="preserve">. </w:t>
      </w:r>
      <w:r w:rsidRPr="00872C3E">
        <w:rPr>
          <w:rFonts w:ascii="Times New Roman" w:eastAsia="Times New Roman" w:hAnsi="Times New Roman" w:cs="Times New Roman"/>
          <w:color w:val="000000" w:themeColor="text1"/>
          <w:lang w:val="en-US"/>
        </w:rPr>
        <w:t>High</w:t>
      </w:r>
      <w:r w:rsidRPr="00872C3E">
        <w:rPr>
          <w:rFonts w:ascii="Times New Roman" w:eastAsia="Times New Roman" w:hAnsi="Times New Roman" w:cs="Times New Roman"/>
          <w:color w:val="000000" w:themeColor="text1"/>
        </w:rPr>
        <w:t>-</w:t>
      </w:r>
      <w:r w:rsidRPr="00872C3E">
        <w:rPr>
          <w:rFonts w:ascii="Times New Roman" w:eastAsia="Times New Roman" w:hAnsi="Times New Roman" w:cs="Times New Roman"/>
          <w:color w:val="000000" w:themeColor="text1"/>
          <w:lang w:val="en-US"/>
        </w:rPr>
        <w:t>power</w:t>
      </w:r>
      <w:r w:rsidRPr="00872C3E">
        <w:rPr>
          <w:rFonts w:ascii="Times New Roman" w:eastAsia="Times New Roman" w:hAnsi="Times New Roman" w:cs="Times New Roman"/>
          <w:color w:val="000000" w:themeColor="text1"/>
        </w:rPr>
        <w:t xml:space="preserve"> </w:t>
      </w:r>
      <w:r w:rsidRPr="00872C3E">
        <w:rPr>
          <w:rFonts w:ascii="Times New Roman" w:eastAsia="Times New Roman" w:hAnsi="Times New Roman" w:cs="Times New Roman"/>
          <w:color w:val="000000" w:themeColor="text1"/>
          <w:lang w:val="en-US"/>
        </w:rPr>
        <w:t>microwave</w:t>
      </w:r>
      <w:r w:rsidRPr="00872C3E">
        <w:rPr>
          <w:rFonts w:ascii="Times New Roman" w:eastAsia="Times New Roman" w:hAnsi="Times New Roman" w:cs="Times New Roman"/>
          <w:color w:val="000000" w:themeColor="text1"/>
        </w:rPr>
        <w:t xml:space="preserve"> </w:t>
      </w:r>
      <w:r w:rsidRPr="00872C3E">
        <w:rPr>
          <w:rFonts w:ascii="Times New Roman" w:eastAsia="Times New Roman" w:hAnsi="Times New Roman" w:cs="Times New Roman"/>
          <w:color w:val="000000" w:themeColor="text1"/>
          <w:lang w:val="en-US"/>
        </w:rPr>
        <w:t>amplifier</w:t>
      </w:r>
      <w:r w:rsidRPr="00872C3E">
        <w:rPr>
          <w:rFonts w:ascii="Times New Roman" w:eastAsia="Times New Roman" w:hAnsi="Times New Roman" w:cs="Times New Roman"/>
          <w:color w:val="000000" w:themeColor="text1"/>
        </w:rPr>
        <w:t xml:space="preserve"> </w:t>
      </w:r>
      <w:r w:rsidRPr="00872C3E">
        <w:rPr>
          <w:rFonts w:ascii="Times New Roman" w:eastAsia="Times New Roman" w:hAnsi="Times New Roman" w:cs="Times New Roman"/>
          <w:color w:val="000000" w:themeColor="text1"/>
          <w:lang w:val="en-US"/>
        </w:rPr>
        <w:t>based</w:t>
      </w:r>
      <w:r w:rsidRPr="00872C3E">
        <w:rPr>
          <w:rFonts w:ascii="Times New Roman" w:eastAsia="Times New Roman" w:hAnsi="Times New Roman" w:cs="Times New Roman"/>
          <w:color w:val="000000" w:themeColor="text1"/>
        </w:rPr>
        <w:t xml:space="preserve"> </w:t>
      </w:r>
      <w:r w:rsidRPr="00872C3E">
        <w:rPr>
          <w:rFonts w:ascii="Times New Roman" w:eastAsia="Times New Roman" w:hAnsi="Times New Roman" w:cs="Times New Roman"/>
          <w:color w:val="000000" w:themeColor="text1"/>
          <w:lang w:val="en-US"/>
        </w:rPr>
        <w:t>on</w:t>
      </w:r>
      <w:r w:rsidRPr="00872C3E">
        <w:rPr>
          <w:rFonts w:ascii="Times New Roman" w:eastAsia="Times New Roman" w:hAnsi="Times New Roman" w:cs="Times New Roman"/>
          <w:color w:val="000000" w:themeColor="text1"/>
        </w:rPr>
        <w:t xml:space="preserve"> </w:t>
      </w:r>
      <w:r w:rsidRPr="00872C3E">
        <w:rPr>
          <w:rFonts w:ascii="Times New Roman" w:eastAsia="Times New Roman" w:hAnsi="Times New Roman" w:cs="Times New Roman"/>
          <w:color w:val="000000" w:themeColor="text1"/>
          <w:lang w:val="en-US"/>
        </w:rPr>
        <w:t>overcritical relativistic electron beam without external magnetic field // Applied Physics Letters.– 2015.– Vol.– 106.–P. 153503.</w:t>
      </w:r>
    </w:p>
    <w:p w:rsidR="00872C3E" w:rsidRPr="00872C3E" w:rsidRDefault="00872C3E" w:rsidP="00872C3E">
      <w:pPr>
        <w:numPr>
          <w:ilvl w:val="0"/>
          <w:numId w:val="1"/>
        </w:numPr>
        <w:shd w:val="clear" w:color="auto" w:fill="FFFFFF"/>
        <w:tabs>
          <w:tab w:val="num" w:pos="0"/>
        </w:tabs>
        <w:spacing w:after="240"/>
        <w:ind w:left="0" w:firstLine="0"/>
        <w:rPr>
          <w:rFonts w:ascii="Times New Roman" w:eastAsia="Times New Roman" w:hAnsi="Times New Roman" w:cs="Times New Roman"/>
          <w:color w:val="000000" w:themeColor="text1"/>
          <w:lang w:val="en-US"/>
        </w:rPr>
      </w:pPr>
      <w:r w:rsidRPr="00872C3E">
        <w:rPr>
          <w:rFonts w:ascii="Times New Roman" w:eastAsia="Times New Roman" w:hAnsi="Times New Roman" w:cs="Times New Roman"/>
          <w:color w:val="000000" w:themeColor="text1"/>
          <w:lang w:val="en-US"/>
        </w:rPr>
        <w:t>Ponomarev A. N., Melnikov L. A., Rybalko V. V. The deviation of the lambert-beer low for the Electromagnetic Waves Absorption At the Near THz Fr</w:t>
      </w:r>
      <w:r w:rsidRPr="00872C3E">
        <w:rPr>
          <w:rFonts w:ascii="Times New Roman" w:eastAsia="Times New Roman" w:hAnsi="Times New Roman" w:cs="Times New Roman"/>
          <w:color w:val="000000" w:themeColor="text1"/>
          <w:lang w:val="en-US"/>
        </w:rPr>
        <w:t>e</w:t>
      </w:r>
      <w:r w:rsidRPr="00872C3E">
        <w:rPr>
          <w:rFonts w:ascii="Times New Roman" w:eastAsia="Times New Roman" w:hAnsi="Times New Roman" w:cs="Times New Roman"/>
          <w:color w:val="000000" w:themeColor="text1"/>
          <w:lang w:val="en-US"/>
        </w:rPr>
        <w:t xml:space="preserve">quency Range for the Astralenes and Carbon Nanoporous Microfibers. // Smart Nanocomposites.– 2017.– Vol. 7.– № 2.– P. 1-5. </w:t>
      </w:r>
    </w:p>
    <w:p w:rsidR="00872C3E" w:rsidRPr="00872C3E" w:rsidRDefault="00872C3E" w:rsidP="00872C3E">
      <w:pPr>
        <w:numPr>
          <w:ilvl w:val="0"/>
          <w:numId w:val="1"/>
        </w:numPr>
        <w:shd w:val="clear" w:color="auto" w:fill="FFFFFF"/>
        <w:tabs>
          <w:tab w:val="num" w:pos="0"/>
        </w:tabs>
        <w:spacing w:after="240"/>
        <w:ind w:left="0" w:firstLine="0"/>
        <w:rPr>
          <w:rFonts w:ascii="Times New Roman" w:eastAsia="Times New Roman" w:hAnsi="Times New Roman" w:cs="Times New Roman"/>
          <w:color w:val="000000" w:themeColor="text1"/>
          <w:lang w:val="en-US"/>
        </w:rPr>
      </w:pPr>
      <w:r w:rsidRPr="00872C3E">
        <w:rPr>
          <w:rFonts w:ascii="Times New Roman" w:eastAsia="Times New Roman" w:hAnsi="Times New Roman" w:cs="Times New Roman"/>
          <w:color w:val="000000" w:themeColor="text1"/>
          <w:lang w:val="en-US"/>
        </w:rPr>
        <w:t>Nefedov, I.S., Valaginnopoulos, C.A., Melnikov, L.A. Perfect absorption in graphene multilayers // Journal of Optics (United Kingdom) .– 2013.– Vol. 15.–  P. 114003.</w:t>
      </w:r>
    </w:p>
    <w:p w:rsidR="00872C3E" w:rsidRPr="00872C3E" w:rsidRDefault="00872C3E" w:rsidP="00872C3E">
      <w:pPr>
        <w:numPr>
          <w:ilvl w:val="0"/>
          <w:numId w:val="1"/>
        </w:numPr>
        <w:shd w:val="clear" w:color="auto" w:fill="FFFFFF"/>
        <w:tabs>
          <w:tab w:val="num" w:pos="0"/>
        </w:tabs>
        <w:spacing w:after="240"/>
        <w:ind w:left="0" w:firstLine="0"/>
        <w:rPr>
          <w:rFonts w:ascii="Times New Roman" w:eastAsia="Times New Roman" w:hAnsi="Times New Roman" w:cs="Times New Roman"/>
          <w:color w:val="000000" w:themeColor="text1"/>
          <w:lang w:val="en-US"/>
        </w:rPr>
      </w:pPr>
      <w:r w:rsidRPr="00872C3E">
        <w:rPr>
          <w:rFonts w:ascii="Times New Roman" w:eastAsia="Times New Roman" w:hAnsi="Times New Roman" w:cs="Times New Roman"/>
          <w:color w:val="000000" w:themeColor="text1"/>
          <w:lang w:val="en-US"/>
        </w:rPr>
        <w:t>Nefedov I.S., Melnikov L. Plasmonic Terahertz Amplification in Graphene-Based Asymmetric Hyperbolic Metamaterial. // Photonics.– 2015.– Vol.– 2.– P. 694-603.</w:t>
      </w:r>
    </w:p>
    <w:p w:rsidR="00872C3E" w:rsidRPr="00872C3E" w:rsidRDefault="00872C3E" w:rsidP="00872C3E">
      <w:pPr>
        <w:numPr>
          <w:ilvl w:val="0"/>
          <w:numId w:val="1"/>
        </w:numPr>
        <w:shd w:val="clear" w:color="auto" w:fill="FFFFFF"/>
        <w:tabs>
          <w:tab w:val="num" w:pos="0"/>
        </w:tabs>
        <w:spacing w:after="240"/>
        <w:ind w:left="0" w:firstLine="0"/>
        <w:rPr>
          <w:lang w:val="en-US"/>
        </w:rPr>
      </w:pPr>
      <w:r w:rsidRPr="00872C3E">
        <w:rPr>
          <w:rFonts w:ascii="Times New Roman" w:eastAsia="Times New Roman" w:hAnsi="Times New Roman" w:cs="Times New Roman"/>
          <w:color w:val="000000" w:themeColor="text1"/>
          <w:shd w:val="clear" w:color="auto" w:fill="FFFFFF"/>
          <w:lang w:val="en-US"/>
        </w:rPr>
        <w:t>Hramov A.E., Makarov V.V., Koronovskii A.A., Kurkin S.A., Gaifullin M.B., Alexeeva N.V., Alekseev K.N., Greenaway M.T., Fromhold T.M., Patanè A., Kusmartsev F.V., Maksimenko V.A., Moskalenko O.I., Balanov A.G. Subterahertz Chaos Generation by Coupling a Superlattice to a Linear Resonator // Physical Review Letters. 2014. Vol.  112. 116603.</w:t>
      </w:r>
    </w:p>
    <w:p w:rsidR="00872C3E" w:rsidRPr="00872C3E" w:rsidRDefault="00872C3E" w:rsidP="00872C3E">
      <w:pPr>
        <w:numPr>
          <w:ilvl w:val="0"/>
          <w:numId w:val="1"/>
        </w:numPr>
        <w:shd w:val="clear" w:color="auto" w:fill="FFFFFF"/>
        <w:tabs>
          <w:tab w:val="num" w:pos="0"/>
        </w:tabs>
        <w:spacing w:after="240"/>
        <w:ind w:left="0" w:firstLine="0"/>
        <w:rPr>
          <w:rFonts w:ascii="Times New Roman" w:hAnsi="Times New Roman" w:cs="Times New Roman"/>
          <w:lang w:val="en-US"/>
        </w:rPr>
      </w:pPr>
      <w:r w:rsidRPr="00872C3E">
        <w:rPr>
          <w:rFonts w:ascii="Times New Roman" w:hAnsi="Times New Roman" w:cs="Times New Roman"/>
          <w:lang w:val="en-US"/>
        </w:rPr>
        <w:t>Kurkin S.A., Koronovskii A.A., Hramov A.E. Effect of the electron beam modulation on the sub-THz generation in the vircator with the field-emission cat</w:t>
      </w:r>
      <w:r w:rsidRPr="00872C3E">
        <w:rPr>
          <w:rFonts w:ascii="Times New Roman" w:hAnsi="Times New Roman" w:cs="Times New Roman"/>
          <w:lang w:val="en-US"/>
        </w:rPr>
        <w:t>h</w:t>
      </w:r>
      <w:r w:rsidRPr="00872C3E">
        <w:rPr>
          <w:rFonts w:ascii="Times New Roman" w:hAnsi="Times New Roman" w:cs="Times New Roman"/>
          <w:lang w:val="en-US"/>
        </w:rPr>
        <w:t>ode. J. Plasma Physics. 81, (2015) 905810320.</w:t>
      </w:r>
    </w:p>
    <w:p w:rsidR="00872C3E" w:rsidRPr="00872C3E" w:rsidRDefault="00872C3E" w:rsidP="00872C3E">
      <w:pPr>
        <w:numPr>
          <w:ilvl w:val="0"/>
          <w:numId w:val="1"/>
        </w:numPr>
        <w:shd w:val="clear" w:color="auto" w:fill="FFFFFF"/>
        <w:tabs>
          <w:tab w:val="num" w:pos="0"/>
        </w:tabs>
        <w:spacing w:after="240"/>
        <w:ind w:left="0" w:firstLine="0"/>
        <w:rPr>
          <w:rFonts w:ascii="Times New Roman" w:hAnsi="Times New Roman" w:cs="Times New Roman"/>
          <w:lang w:val="en-US"/>
        </w:rPr>
      </w:pPr>
      <w:r w:rsidRPr="00872C3E">
        <w:rPr>
          <w:rFonts w:ascii="Times New Roman" w:hAnsi="Times New Roman" w:cs="Times New Roman"/>
          <w:lang w:val="en-US"/>
        </w:rPr>
        <w:t>Lipatov A., Sinitskii A., Varezhnikov A., Sysoev V., Augustin M., Sommer M., Bruns M., Kolmakov A. Intrinsic device-to-device variation in graphene field-effect transistors on a Si/SiO</w:t>
      </w:r>
      <w:r w:rsidRPr="00872C3E">
        <w:rPr>
          <w:rFonts w:ascii="Times New Roman" w:hAnsi="Times New Roman" w:cs="Times New Roman"/>
          <w:vertAlign w:val="subscript"/>
          <w:lang w:val="en-US"/>
        </w:rPr>
        <w:t>2</w:t>
      </w:r>
      <w:r w:rsidRPr="00872C3E">
        <w:rPr>
          <w:rFonts w:ascii="Times New Roman" w:hAnsi="Times New Roman" w:cs="Times New Roman"/>
          <w:lang w:val="en-US"/>
        </w:rPr>
        <w:t xml:space="preserve"> substrate as a platform for discriminative gas sensing // Applied Physics Letters.– 2014.– Vol. 104.– P. 013114.</w:t>
      </w:r>
    </w:p>
    <w:p w:rsidR="008F2378" w:rsidRPr="00872C3E" w:rsidRDefault="008F2378" w:rsidP="00872C3E"/>
    <w:sectPr w:rsidR="008F2378" w:rsidRPr="00872C3E" w:rsidSect="008F237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93153E"/>
    <w:multiLevelType w:val="multilevel"/>
    <w:tmpl w:val="DB6EC4C6"/>
    <w:lvl w:ilvl="0">
      <w:start w:val="1"/>
      <w:numFmt w:val="decimal"/>
      <w:lvlText w:val="%1."/>
      <w:lvlJc w:val="left"/>
      <w:pPr>
        <w:tabs>
          <w:tab w:val="num" w:pos="720"/>
        </w:tabs>
        <w:ind w:left="720" w:hanging="360"/>
      </w:pPr>
      <w:rPr>
        <w:sz w:val="28"/>
        <w:szCs w:val="28"/>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872C3E"/>
    <w:rsid w:val="00872C3E"/>
    <w:rsid w:val="008F23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2C3E"/>
    <w:pPr>
      <w:spacing w:after="0" w:line="240" w:lineRule="auto"/>
      <w:jc w:val="both"/>
    </w:pPr>
    <w:rPr>
      <w:rFonts w:ascii="Arial Unicode MS" w:eastAsia="Arial Unicode MS" w:hAnsi="Arial Unicode MS" w:cs="Arial Unicode MS"/>
      <w:color w:val="00000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428</Words>
  <Characters>2445</Characters>
  <Application>Microsoft Office Word</Application>
  <DocSecurity>0</DocSecurity>
  <Lines>20</Lines>
  <Paragraphs>5</Paragraphs>
  <ScaleCrop>false</ScaleCrop>
  <Company/>
  <LinksUpToDate>false</LinksUpToDate>
  <CharactersWithSpaces>2868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DEK</dc:creator>
  <cp:lastModifiedBy>DEK</cp:lastModifiedBy>
  <cp:revision>1</cp:revision>
  <dcterms:created xsi:type="dcterms:W3CDTF">2018-10-18T07:15:00Z</dcterms:created>
  <dcterms:modified xsi:type="dcterms:W3CDTF">2018-10-18T07:17:00Z</dcterms:modified>
</cp:coreProperties>
</file>