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bookmarkStart w:id="0" w:name="_Hlk56289548"/>
      <w:bookmarkEnd w:id="0"/>
      <w:r>
        <w:rPr>
          <w:rFonts w:ascii="Times New Roman" w:hAnsi="Times New Roman" w:cs="Times New Roman"/>
          <w:sz w:val="28"/>
        </w:rPr>
        <w:t>УДК 528.88:502.63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>
      <w:pPr>
        <w:pStyle w:val="7"/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К.Н. Мнацаканян</w:t>
      </w:r>
    </w:p>
    <w:p>
      <w:pPr>
        <w:pStyle w:val="7"/>
        <w:spacing w:line="240" w:lineRule="auto"/>
        <w:jc w:val="right"/>
        <w:rPr>
          <w:rFonts w:ascii="Times New Roman" w:hAnsi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sz w:val="24"/>
          <w:szCs w:val="24"/>
          <w:lang w:val="en-US" w:eastAsia="ru-RU"/>
        </w:rPr>
        <w:t>kirill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mnactakanyan</w:t>
      </w:r>
      <w:r>
        <w:rPr>
          <w:rFonts w:ascii="Times New Roman" w:hAnsi="Times New Roman"/>
          <w:i/>
          <w:sz w:val="24"/>
          <w:szCs w:val="24"/>
          <w:lang w:eastAsia="ru-RU"/>
        </w:rPr>
        <w:t>@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yandex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ru</w:t>
      </w:r>
    </w:p>
    <w:p>
      <w:pPr>
        <w:pStyle w:val="7"/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Магистрант, 2 год обучения</w:t>
      </w:r>
    </w:p>
    <w:p>
      <w:pPr>
        <w:pStyle w:val="7"/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Научный руководитель – ст. преподаватель П.А. Шлапак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kirill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  <w:lang w:val="en-US"/>
        </w:rPr>
        <w:t>mmactakanyan</w:t>
      </w:r>
      <w:r>
        <w:rPr>
          <w:rFonts w:ascii="Times New Roman" w:hAnsi="Times New Roman" w:cs="Times New Roman"/>
          <w:i/>
          <w:sz w:val="24"/>
        </w:rPr>
        <w:t>@</w:t>
      </w:r>
      <w:r>
        <w:rPr>
          <w:rFonts w:ascii="Times New Roman" w:hAnsi="Times New Roman" w:cs="Times New Roman"/>
          <w:i/>
          <w:sz w:val="24"/>
          <w:lang w:val="en-US"/>
        </w:rPr>
        <w:t>yandex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  <w:lang w:val="en-US"/>
        </w:rPr>
        <w:t>ru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МОНИТОРИНГ ИЗМЕНЕНИЯ ЗЕЛЕНЫХ НАСАЖДЕНИЙ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ПРЕДЕЛАХ Г. САРАТОВА ПО ДАННЫМ ДИСТАНЦИОННОГО ЗОНДИРОВАНИЯ ЗЕМЛИ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Саратовский государственный университет им. Н.Г. Чернышевского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работе приведены результаты изучения динамики вегетационного индекса </w:t>
      </w:r>
      <w:r>
        <w:rPr>
          <w:rFonts w:ascii="Times New Roman" w:hAnsi="Times New Roman" w:cs="Times New Roman"/>
          <w:sz w:val="28"/>
          <w:szCs w:val="28"/>
          <w:lang w:val="en-US"/>
        </w:rPr>
        <w:t>NDVI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и картографирования наземной растительности по спутниковым данным на территорию г. Саратова. На основе разновременных космических снимков </w:t>
      </w:r>
      <w:r>
        <w:rPr>
          <w:rFonts w:ascii="Times New Roman" w:hAnsi="Times New Roman" w:cs="Times New Roman"/>
          <w:sz w:val="28"/>
          <w:szCs w:val="28"/>
          <w:lang w:val="en-US"/>
        </w:rPr>
        <w:t>Landsat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анализ изменения площадей древесно-кустарниковой растительности.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lang w:val="en-US"/>
        </w:rPr>
        <w:t>NDVI</w:t>
      </w:r>
      <w:r>
        <w:rPr>
          <w:rFonts w:ascii="Times New Roman" w:hAnsi="Times New Roman" w:cs="Times New Roman"/>
          <w:sz w:val="28"/>
          <w:szCs w:val="28"/>
        </w:rPr>
        <w:t>, Саратов, зеленые насаждения, вегетация, ГИС-технологии, QGIS, данные дистанционного зондирования.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информационные системы (ГИС) становятся все совершеннее, многие процессы автоматизированы и требуют минимального участия человека, значительно упрощая исследования, а новейшие возможности ГИС-технологий и программных продуктов позволяют решать задачи очень широкого спектра.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внедрение ГИС-технологий в геоэкологические исследования предполагает наличие данных об исследуемых объектах в цифровой форме. Это позволяет минимизировать природные и техногенные риски в условиях селитебных и промышленных ландшафтов, контролировать рациональное землепользование [4, 5]. Одним из самых перспективных направлений является работа с данными дистанционного зондирования Земли (ДЗЗ). Используя ДЗЗ, исследователи получают сведения о состоянии наземных объектов, могут проводить достаточно точную идентификацию процессов и явлений [7]. При этом возможен непрерывный сбор информации для каждой конкретной территории [9].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многочисленных анализируемых параметров, которые могут оценивать особенности изменений на обширных территориях являются спектральные индексы. Они могут использоваться для решения различных задач: мониторинг водных объектов, контроль развития опасных экзогенных процессов, изучение вегетации растений [6, 7, 8]. Вегетационные индексы — это показатели, рассчитанные в результате операций с разными спектральными диапазонами (каналами) данных дистанционного зондирования Земли, и имеющие отношение к параметрам растительности в данном пикселе снимка. Эффективность вегетационных индексов определяется эмпирически.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индексов, использующих количественные оценки растительного покрова, является вегетационный индекс NDVI — это нормализованный относительный индекс вегетации растительности, количественный показатель фотосинтетически активной биомассы [2].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исследование динамики изменения зеленых насаждений в пределах г. Саратова за период 1990 - 2019 гг.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необходимых для анализа растительности индексов (NDVI), 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векторизация участков древесно-кустарниковой растительности по годам на основе вычисленных растров,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изменения площадей зеленых насаждений в пределах г. Саратова за выбранный период.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материалов ДЗЗ в рамках исследования является архив Геологической службы США (</w:t>
      </w:r>
      <w:r>
        <w:rPr>
          <w:rFonts w:ascii="Times New Roman" w:hAnsi="Times New Roman" w:cs="Times New Roman"/>
          <w:sz w:val="28"/>
          <w:szCs w:val="28"/>
          <w:lang w:val="en-US"/>
        </w:rPr>
        <w:t>usgs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 xml:space="preserve">): спутниковые снимки съемочных систем </w:t>
      </w:r>
      <w:r>
        <w:rPr>
          <w:rFonts w:ascii="Times New Roman" w:hAnsi="Times New Roman" w:cs="Times New Roman"/>
          <w:sz w:val="28"/>
          <w:szCs w:val="28"/>
          <w:lang w:val="en-US"/>
        </w:rPr>
        <w:t>Landsat</w:t>
      </w:r>
      <w:r>
        <w:rPr>
          <w:rFonts w:ascii="Times New Roman" w:hAnsi="Times New Roman" w:cs="Times New Roman"/>
          <w:sz w:val="28"/>
          <w:szCs w:val="28"/>
        </w:rPr>
        <w:t xml:space="preserve"> 5 и </w:t>
      </w:r>
      <w:r>
        <w:rPr>
          <w:rFonts w:ascii="Times New Roman" w:hAnsi="Times New Roman" w:cs="Times New Roman"/>
          <w:sz w:val="28"/>
          <w:szCs w:val="28"/>
          <w:lang w:val="en-US"/>
        </w:rPr>
        <w:t>Landsat</w:t>
      </w:r>
      <w:r>
        <w:rPr>
          <w:rFonts w:ascii="Times New Roman" w:hAnsi="Times New Roman" w:cs="Times New Roman"/>
          <w:sz w:val="28"/>
          <w:szCs w:val="28"/>
        </w:rPr>
        <w:t xml:space="preserve"> 8 [3]. Кроме того, для уточнения пространственной информации использовались общедоступные композитные изображения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работы были использованы следующие методы: картографический, метод сравнительного анализа, описательный. </w:t>
      </w:r>
      <w:r>
        <w:rPr>
          <w:rFonts w:ascii="Times New Roman" w:hAnsi="Times New Roman" w:cs="Times New Roman"/>
          <w:sz w:val="28"/>
        </w:rPr>
        <w:t>Объектом исследования являлись зеленые насаждения в пределах города Саратова.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Ход работы.</w:t>
      </w:r>
      <w:r>
        <w:rPr>
          <w:rFonts w:ascii="Times New Roman" w:hAnsi="Times New Roman" w:cs="Times New Roman"/>
          <w:sz w:val="28"/>
          <w:szCs w:val="24"/>
        </w:rPr>
        <w:t xml:space="preserve"> NDVI рассчитывается на основе снимков высокого, среднего или низкого разрешения, имеющих спектральные каналы в красном (0,55-0,75 мкм) и ближнем инфракрасном диапазоне (0,75-1,0 мкм). Поэтому на первом этапе работы были получены снимки со спутников Landsat-8 и Landsat-8. Для Landsat-5 использовались 4 и 3 каналы, а для снимков Landsat-8 – 5 и 4 каналы.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Последующая обработка снимков была сделана в программном обеспечении Quantum GIS (QGIS). На втором этапе происходило вычисление индекса </w:t>
      </w:r>
      <w:r>
        <w:rPr>
          <w:rFonts w:ascii="Times New Roman" w:hAnsi="Times New Roman" w:cs="Times New Roman"/>
          <w:sz w:val="28"/>
          <w:szCs w:val="24"/>
          <w:lang w:val="en-US"/>
        </w:rPr>
        <w:t>NDVI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bookmarkStart w:id="1" w:name="_Hlk56165983"/>
      <w:r>
        <w:rPr>
          <w:rFonts w:ascii="Times New Roman" w:hAnsi="Times New Roman" w:cs="Times New Roman"/>
          <w:sz w:val="28"/>
          <w:szCs w:val="24"/>
        </w:rPr>
        <w:t>Индекс вычислялся по формуле (1):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 w:cs="Times New Roman" w:eastAsiaTheme="minorEastAsia"/>
            <w:sz w:val="28"/>
            <w:szCs w:val="24"/>
            <w:lang w:val="en-US"/>
          </w:rPr>
          <m:t>NDVI</m:t>
        </m:r>
        <m:r>
          <m:rPr>
            <m:sty m:val="p"/>
          </m:rPr>
          <w:rPr>
            <w:rFonts w:ascii="Cambria Math" w:hAnsi="Cambria Math" w:cs="Times New Roman" w:eastAsiaTheme="minorEastAsia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sz w:val="28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eastAsiaTheme="minorEastAsia"/>
                <w:sz w:val="28"/>
                <w:szCs w:val="24"/>
              </w:rPr>
              <m:t>NIR−RED</m:t>
            </m:r>
            <m:ctrlPr>
              <w:rPr>
                <w:rFonts w:ascii="Cambria Math" w:hAnsi="Cambria Math" w:cs="Times New Roman" w:eastAsiaTheme="minorEastAsia"/>
                <w:sz w:val="28"/>
                <w:szCs w:val="24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 w:eastAsiaTheme="minorEastAsia"/>
                <w:sz w:val="28"/>
                <w:szCs w:val="24"/>
              </w:rPr>
              <m:t>NIR+RED</m:t>
            </m:r>
            <m:ctrlPr>
              <w:rPr>
                <w:rFonts w:ascii="Cambria Math" w:hAnsi="Cambria Math" w:cs="Times New Roman" w:eastAsiaTheme="minorEastAsia"/>
                <w:sz w:val="28"/>
                <w:szCs w:val="24"/>
                <w:lang w:val="en-US"/>
              </w:rPr>
            </m:ctrlPr>
          </m:den>
        </m:f>
      </m:oMath>
      <w:r>
        <w:rPr>
          <w:rFonts w:ascii="Cambria Math" w:hAnsi="Cambria Math" w:cs="Times New Roman" w:eastAsiaTheme="minorEastAsia"/>
          <w:sz w:val="28"/>
          <w:szCs w:val="24"/>
        </w:rPr>
        <w:t xml:space="preserve">  (1)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 w:eastAsiaTheme="minorEastAsia"/>
          <w:sz w:val="28"/>
          <w:szCs w:val="24"/>
        </w:rPr>
      </w:pPr>
      <w:r>
        <w:rPr>
          <w:rFonts w:ascii="Times New Roman" w:hAnsi="Times New Roman" w:cs="Times New Roman" w:eastAsiaTheme="minorEastAsia"/>
          <w:sz w:val="28"/>
          <w:szCs w:val="24"/>
        </w:rPr>
        <w:t xml:space="preserve">где </w:t>
      </w:r>
      <w:r>
        <w:rPr>
          <w:rFonts w:ascii="Times New Roman" w:hAnsi="Times New Roman" w:cs="Times New Roman" w:eastAsiaTheme="minorEastAsia"/>
          <w:sz w:val="28"/>
          <w:szCs w:val="24"/>
          <w:lang w:val="en-US"/>
        </w:rPr>
        <w:t>NIR</w:t>
      </w:r>
      <w:r>
        <w:rPr>
          <w:rFonts w:ascii="Times New Roman" w:hAnsi="Times New Roman" w:cs="Times New Roman" w:eastAsiaTheme="minorEastAsia"/>
          <w:sz w:val="28"/>
          <w:szCs w:val="24"/>
        </w:rPr>
        <w:t xml:space="preserve"> - отражение в ближней инфракрасной области спектра, </w:t>
      </w:r>
      <w:r>
        <w:rPr>
          <w:rFonts w:ascii="Times New Roman" w:hAnsi="Times New Roman" w:cs="Times New Roman" w:eastAsiaTheme="minorEastAsia"/>
          <w:sz w:val="28"/>
          <w:szCs w:val="24"/>
          <w:lang w:val="en-US"/>
        </w:rPr>
        <w:t>RED</w:t>
      </w:r>
      <w:r>
        <w:rPr>
          <w:rFonts w:ascii="Times New Roman" w:hAnsi="Times New Roman" w:cs="Times New Roman" w:eastAsiaTheme="minorEastAsia"/>
          <w:sz w:val="28"/>
          <w:szCs w:val="24"/>
        </w:rPr>
        <w:t xml:space="preserve"> - отражение в красной области спектра. </w:t>
      </w:r>
    </w:p>
    <w:bookmarkEnd w:id="1"/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показатели индекса </w:t>
      </w:r>
      <w:r>
        <w:rPr>
          <w:rFonts w:ascii="Times New Roman" w:hAnsi="Times New Roman" w:cs="Times New Roman"/>
          <w:sz w:val="28"/>
          <w:szCs w:val="28"/>
          <w:lang w:val="en-US"/>
        </w:rPr>
        <w:t>NDVI</w:t>
      </w:r>
      <w:r>
        <w:rPr>
          <w:rFonts w:ascii="Times New Roman" w:hAnsi="Times New Roman" w:cs="Times New Roman"/>
          <w:sz w:val="28"/>
          <w:szCs w:val="28"/>
        </w:rPr>
        <w:t xml:space="preserve"> меняются в зависимости от плотности (сомкнутости) растительности и насыщенности растений хлорофиллом. После расчета индекса по вышеуказанной формуле получили значения от -1 до 1 [2].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Были выбраны значения индекса NDVI от 0.5 до 1. В данный диапазон попадают значения густой растительности (деревья, кустарники).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растровые изображения были переведены в векторный вид. Полученные результаты представлены на рис.1 и рис.2.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drawing>
          <wp:inline distT="0" distB="0" distL="0" distR="0">
            <wp:extent cx="5759450" cy="4319905"/>
            <wp:effectExtent l="0" t="0" r="127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1. Ареалы древесно-кустарниковой растительности, выделенные при значении </w:t>
      </w:r>
      <w:r>
        <w:rPr>
          <w:rFonts w:ascii="Times New Roman" w:hAnsi="Times New Roman" w:cs="Times New Roman"/>
          <w:sz w:val="28"/>
          <w:lang w:val="en-US"/>
        </w:rPr>
        <w:t>NDVI</w:t>
      </w:r>
      <w:r>
        <w:rPr>
          <w:rFonts w:ascii="Times New Roman" w:hAnsi="Times New Roman" w:cs="Times New Roman"/>
          <w:sz w:val="28"/>
        </w:rPr>
        <w:t xml:space="preserve"> &gt;0.5 в пределах г. Саратова (1990 г.) (составлено автором по материалам [2, 3]).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выделено несколько модельных участков на территории г. Саратова. Среди них стоит отметить природный парк «Кумысная поляна», парк Победы (Соколовогорский массив), парк культуры им. М. Горького, Елшанский лесной массив.</w:t>
      </w:r>
    </w:p>
    <w:p>
      <w:pPr>
        <w:tabs>
          <w:tab w:val="left" w:pos="77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drawing>
          <wp:inline distT="0" distB="0" distL="0" distR="0">
            <wp:extent cx="5759450" cy="43199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2. Ареалы растительности, выделенные при значении </w:t>
      </w:r>
      <w:r>
        <w:rPr>
          <w:rFonts w:ascii="Times New Roman" w:hAnsi="Times New Roman" w:cs="Times New Roman"/>
          <w:sz w:val="28"/>
          <w:lang w:val="en-US"/>
        </w:rPr>
        <w:t>NDVI</w:t>
      </w:r>
      <w:r>
        <w:rPr>
          <w:rFonts w:ascii="Times New Roman" w:hAnsi="Times New Roman" w:cs="Times New Roman"/>
          <w:sz w:val="28"/>
        </w:rPr>
        <w:t xml:space="preserve"> &gt;0.5 в пределах г. Саратова (2019 г.) (составлено автором по материалам [2, 3]).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Сравнение крупных растительных массивов территории города Саратова за 1990 и 2019 года (составлено автором).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324"/>
        <w:gridCol w:w="1324"/>
        <w:gridCol w:w="1475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Модельные участки</w:t>
            </w:r>
          </w:p>
        </w:tc>
        <w:tc>
          <w:tcPr>
            <w:tcW w:w="577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площади растительных массивов по годам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1990, га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2019, га</w:t>
            </w:r>
          </w:p>
        </w:tc>
        <w:tc>
          <w:tcPr>
            <w:tcW w:w="14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Разница, га</w:t>
            </w:r>
          </w:p>
        </w:tc>
        <w:tc>
          <w:tcPr>
            <w:tcW w:w="16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Разница,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Кумысная поляна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4255,6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4252,3</w:t>
            </w:r>
          </w:p>
        </w:tc>
        <w:tc>
          <w:tcPr>
            <w:tcW w:w="14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-103,3</w:t>
            </w:r>
          </w:p>
        </w:tc>
        <w:tc>
          <w:tcPr>
            <w:tcW w:w="16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2323"/>
                <w:sz w:val="24"/>
                <w:shd w:val="clear" w:color="auto" w:fill="FFFFFF"/>
              </w:rPr>
              <w:t>-1.76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М. Горького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4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-7,2</w:t>
            </w:r>
          </w:p>
        </w:tc>
        <w:tc>
          <w:tcPr>
            <w:tcW w:w="16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2323"/>
                <w:sz w:val="24"/>
                <w:shd w:val="clear" w:color="auto" w:fill="FFFFFF"/>
              </w:rPr>
              <w:t>-28.8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(Соколовогорский массив)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1154,1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760,2</w:t>
            </w:r>
          </w:p>
        </w:tc>
        <w:tc>
          <w:tcPr>
            <w:tcW w:w="14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-394,27</w:t>
            </w:r>
          </w:p>
        </w:tc>
        <w:tc>
          <w:tcPr>
            <w:tcW w:w="16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2323"/>
                <w:sz w:val="24"/>
                <w:shd w:val="clear" w:color="auto" w:fill="FFFFFF"/>
              </w:rPr>
              <w:t>-51.8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Елшанский лесной массив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879,1</w:t>
            </w:r>
          </w:p>
        </w:tc>
        <w:tc>
          <w:tcPr>
            <w:tcW w:w="1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14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-192,88</w:t>
            </w:r>
          </w:p>
        </w:tc>
        <w:tc>
          <w:tcPr>
            <w:tcW w:w="16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2323"/>
                <w:sz w:val="24"/>
                <w:shd w:val="clear" w:color="auto" w:fill="FFFFFF"/>
              </w:rPr>
              <w:t>-28.1</w:t>
            </w:r>
          </w:p>
        </w:tc>
      </w:tr>
    </w:tbl>
    <w:p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полученным данным можно сделать следующие выводы: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показатели площади зеленых насаждений в 1990 году составляли – 12810,1 га, в 2019 – 12 080,8 га. Разница составляет около 729,3 га или </w:t>
      </w:r>
      <w:r>
        <w:rPr>
          <w:rFonts w:ascii="Times New Roman" w:hAnsi="Times New Roman" w:cs="Times New Roman"/>
          <w:bCs/>
          <w:color w:val="232323"/>
          <w:sz w:val="28"/>
          <w:szCs w:val="28"/>
          <w:shd w:val="clear" w:color="auto" w:fill="FFFFFF"/>
        </w:rPr>
        <w:t>6.03 %.</w:t>
      </w:r>
      <w:r>
        <w:rPr>
          <w:b/>
          <w:bCs/>
          <w:color w:val="232323"/>
          <w:sz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акое уменьшение количества зеленых насаждений связано с активной застройкой городской территории и расширением жилищных комплексов. Особенно заметно уменьшение количества зеленых насаждений в пределах Соколовогорского, Елшанского лесного массива и парка культуры им. М. Горького. За период с 1990 по 2019 год площадь зеленых насаждений на этих крупных участках сократилась от 28.1 % до 51.8 %.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в городе Саратове показатель количества зеленых насаждений в расчете на одного жителя составляет 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человека. Поэтому для полноценного выполнения своих функций зеленые насаждения должны находиться в достаточном количестве и состоянии на всех территории города. Распространение зеленых насаждений, которые обладают фильтрующей способностью, позволяет поглощать из воздуха и нейтрализовать значительные количества вредных компонентов, например таких как пыль и оксид углерода (СО) [10]. </w:t>
      </w:r>
    </w:p>
    <w:p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Вегетационный индекс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NDVI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предназначен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выявления эколого-климатических характеристик растительности. В целом для всей территории города Саратова были сделаны прогнозы снижения площади растительности в городской среде, в связи с активной застройкой свободных территорий города, вырубкой старых зеленых насаждений без высадки новых древесных пород.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преимуществом вегетационных индексов является легкость их получения и широкий диапазон решаемых с их помощью задач. Следует отметить, что любые вегетационные индексы не дают абсолютных показателей исследуемого свойства, и их значения зависят от характеристик сенсора (ширина спектральных каналов, разрешения), условий съемки, освещенности, состояния атмосферы. Они дают только относительные оценки свойств растительного покрова, которые могут быть интерпретированы и с привлечением полевых данных пересчитаны абсолютные [1].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создание различных карт с использованием геоинформационных технологий и данных дистанционного зондирования Земли в современном мире является необходимым для решения и упрощения способов картографирования, а также геоинформационных технологий в естественных областях знаний.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Богомолов Л.А. Дешифрирование аэрокосмоснимков М.: Недра, 1976. 145 с.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Вегетационные индексы официальный сайт [Электронный ресурс]: [сайт].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https</w:t>
      </w:r>
      <w:r>
        <w:rPr>
          <w:rFonts w:ascii="Times New Roman" w:hAnsi="Times New Roman" w:cs="Times New Roman"/>
          <w:sz w:val="28"/>
        </w:rPr>
        <w:t>://</w:t>
      </w:r>
      <w:r>
        <w:rPr>
          <w:rFonts w:ascii="Times New Roman" w:hAnsi="Times New Roman" w:cs="Times New Roman"/>
          <w:sz w:val="28"/>
          <w:lang w:val="en-US"/>
        </w:rPr>
        <w:t>gis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lab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info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qa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ndvi</w:t>
      </w:r>
      <w:r>
        <w:rPr>
          <w:rFonts w:ascii="Times New Roman" w:hAnsi="Times New Roman" w:cs="Times New Roman"/>
          <w:sz w:val="28"/>
        </w:rPr>
        <w:t xml:space="preserve"> (дата обращения: 10.11.2020).  Загл. с экр. – Яз. рус.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Геологической службы США (</w:t>
      </w:r>
      <w:r>
        <w:rPr>
          <w:rFonts w:ascii="Times New Roman" w:hAnsi="Times New Roman" w:cs="Times New Roman"/>
          <w:sz w:val="28"/>
          <w:lang w:val="en-US"/>
        </w:rPr>
        <w:t>USGS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lang w:val="en-US"/>
        </w:rPr>
        <w:t>United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States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Geological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Survey</w:t>
      </w:r>
      <w:r>
        <w:rPr>
          <w:rFonts w:ascii="Times New Roman" w:hAnsi="Times New Roman" w:cs="Times New Roman"/>
          <w:sz w:val="28"/>
        </w:rPr>
        <w:t xml:space="preserve">) [Электронный ресурс]: официальный сайт [Электронный ресурс]: [сайт].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https</w:t>
      </w:r>
      <w:r>
        <w:rPr>
          <w:rFonts w:ascii="Times New Roman" w:hAnsi="Times New Roman" w:cs="Times New Roman"/>
          <w:sz w:val="28"/>
        </w:rPr>
        <w:t>://</w:t>
      </w:r>
      <w:r>
        <w:rPr>
          <w:rFonts w:ascii="Times New Roman" w:hAnsi="Times New Roman" w:cs="Times New Roman"/>
          <w:sz w:val="28"/>
          <w:lang w:val="en-US"/>
        </w:rPr>
        <w:t>earthexplorer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usgs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gov</w:t>
      </w:r>
      <w:r>
        <w:rPr>
          <w:rFonts w:ascii="Times New Roman" w:hAnsi="Times New Roman" w:cs="Times New Roman"/>
          <w:sz w:val="28"/>
        </w:rPr>
        <w:t xml:space="preserve"> (дата обращения: 10.11.2020).  Загл. с экр. – Яз. Рус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Геоэкологический риск-анализ нефтяных месторождений Cаратовской области с применением ГИС технологий / А. Н. Чумаченко, А. В. Молочко, В. З. Макаров [и др.]; под ред. А. Н. Чумаченко. Саратов: Издательство Саратовского университета, 2017. 104 с.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Гусев В. А., Басамыкин С. С., Шлапак П. А. Оптимизация структуры землепользования для увеличения устойчивости агроландшафтов // Известия Саратовского университета. Новая серия. Серия: Науки о Земле. 2016. Т. 16, вып. 3. С. 133-137.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Исследование линейной эрозии путем создания уточненной цифровой модели рельефа на основе </w:t>
      </w:r>
      <w:r>
        <w:rPr>
          <w:rFonts w:ascii="Times New Roman" w:hAnsi="Times New Roman"/>
          <w:sz w:val="28"/>
          <w:lang w:val="en-US"/>
        </w:rPr>
        <w:t>SRTM</w:t>
      </w:r>
      <w:r>
        <w:rPr>
          <w:rFonts w:ascii="Times New Roman" w:hAnsi="Times New Roman"/>
          <w:sz w:val="28"/>
        </w:rPr>
        <w:t xml:space="preserve"> (на примере территории Хвалынского района Саратовской области) Федоров А.В., Шлапак П.А., Муженский Д.А. Известия Саратовского университета. Новая серия. Серия: Науки о Земле. 2020. Т. 20. № 1. С. 36-40.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Макаров В. З., Гусев В. А., Шлапак П. А., Решетарова Д. А. Выбор оптимального метода распознавания сельскохозяйственных культур по космоснимкам высокого разрешения (на примере Саратовского Заволжья) // Известия Саратовского университета. Новая серия. Серия: Науки о Земле. 2020. Т. 20, вып. 3. С. 162-170.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Морозова В. А. Расчет индексов для выявления и анализа характеристик водных объектов с помощью данных дистанционного зондирования [Электронный ресурс] / В. А. Морозова // Современные проблемы территориального развития: электрон. журн. – 2019. – № 2. С. 1- 12.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Сутырина Е. Н. Дистанционное зондирование земли: учеб. пособие/ Е. Н. Сутырина. – М.: ИГУ, 2013. – 165 с.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Тетиор А.Н. Городская экология. — М.: Издательский центр «Академия», 2006 — 336 с.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C6FD3"/>
    <w:multiLevelType w:val="singleLevel"/>
    <w:tmpl w:val="981C6F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6"/>
        <w:szCs w:val="1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FB"/>
    <w:rsid w:val="00013288"/>
    <w:rsid w:val="00071ED2"/>
    <w:rsid w:val="00084BCA"/>
    <w:rsid w:val="000F087C"/>
    <w:rsid w:val="00101FFB"/>
    <w:rsid w:val="001078DD"/>
    <w:rsid w:val="001312AB"/>
    <w:rsid w:val="001346AA"/>
    <w:rsid w:val="00136F2B"/>
    <w:rsid w:val="00190460"/>
    <w:rsid w:val="001E02D6"/>
    <w:rsid w:val="001E3D87"/>
    <w:rsid w:val="00206B37"/>
    <w:rsid w:val="00222273"/>
    <w:rsid w:val="00274C84"/>
    <w:rsid w:val="0028205B"/>
    <w:rsid w:val="00315321"/>
    <w:rsid w:val="003754AD"/>
    <w:rsid w:val="0038684A"/>
    <w:rsid w:val="003938CA"/>
    <w:rsid w:val="00427A24"/>
    <w:rsid w:val="004C7090"/>
    <w:rsid w:val="004E5268"/>
    <w:rsid w:val="00512391"/>
    <w:rsid w:val="00535F40"/>
    <w:rsid w:val="00553C7E"/>
    <w:rsid w:val="005874E5"/>
    <w:rsid w:val="005E7557"/>
    <w:rsid w:val="0060418B"/>
    <w:rsid w:val="00637FED"/>
    <w:rsid w:val="00646FFC"/>
    <w:rsid w:val="00650539"/>
    <w:rsid w:val="00660DFC"/>
    <w:rsid w:val="00665A44"/>
    <w:rsid w:val="006B2FCD"/>
    <w:rsid w:val="006D0362"/>
    <w:rsid w:val="006D4CB9"/>
    <w:rsid w:val="006F4688"/>
    <w:rsid w:val="00711063"/>
    <w:rsid w:val="00717F90"/>
    <w:rsid w:val="007913F9"/>
    <w:rsid w:val="007A340F"/>
    <w:rsid w:val="007A3B50"/>
    <w:rsid w:val="007A674D"/>
    <w:rsid w:val="007D54AA"/>
    <w:rsid w:val="00805033"/>
    <w:rsid w:val="008A073A"/>
    <w:rsid w:val="008D0CE7"/>
    <w:rsid w:val="008E47AF"/>
    <w:rsid w:val="0092592A"/>
    <w:rsid w:val="009631EC"/>
    <w:rsid w:val="009945A9"/>
    <w:rsid w:val="009E2274"/>
    <w:rsid w:val="00AB4A68"/>
    <w:rsid w:val="00AD2B01"/>
    <w:rsid w:val="00B61044"/>
    <w:rsid w:val="00BC614C"/>
    <w:rsid w:val="00C5661C"/>
    <w:rsid w:val="00CC2F47"/>
    <w:rsid w:val="00CD151B"/>
    <w:rsid w:val="00D462AB"/>
    <w:rsid w:val="00DA411B"/>
    <w:rsid w:val="00E53ECD"/>
    <w:rsid w:val="00EE5148"/>
    <w:rsid w:val="00EF2F37"/>
    <w:rsid w:val="00F764CE"/>
    <w:rsid w:val="00F95441"/>
    <w:rsid w:val="00FB49D0"/>
    <w:rsid w:val="00FE6F5A"/>
    <w:rsid w:val="18335011"/>
    <w:rsid w:val="57331958"/>
    <w:rsid w:val="5DD9045F"/>
    <w:rsid w:val="5E871D47"/>
    <w:rsid w:val="6081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7">
    <w:name w:val="Обычный1"/>
    <w:uiPriority w:val="99"/>
    <w:pPr>
      <w:spacing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1476</Words>
  <Characters>8418</Characters>
  <Lines>70</Lines>
  <Paragraphs>19</Paragraphs>
  <TotalTime>0</TotalTime>
  <ScaleCrop>false</ScaleCrop>
  <LinksUpToDate>false</LinksUpToDate>
  <CharactersWithSpaces>9875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2021-01-29T21:11:00Z</dcterms:created>
  <dc:creator>Kirill</dc:creator>
  <cp:lastModifiedBy>Danilov Vladimir</cp:lastModifiedBy>
  <cp:lastPrinted>2020-11-13T21:51:00Z</cp:lastPrinted>
  <dcterms:modified xsi:type="dcterms:W3CDTF">2021-02-17T08:13:17Z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